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2CB3D">
      <w:pPr>
        <w:snapToGrid w:val="0"/>
        <w:spacing w:after="100" w:afterAutospacing="1"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drawing>
          <wp:inline distT="0" distB="0" distL="114300" distR="114300">
            <wp:extent cx="5934075" cy="8391525"/>
            <wp:effectExtent l="0" t="0" r="9525" b="9525"/>
            <wp:docPr id="1" name="图片 1" descr="招标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标文件封面"/>
                    <pic:cNvPicPr>
                      <a:picLocks noChangeAspect="1"/>
                    </pic:cNvPicPr>
                  </pic:nvPicPr>
                  <pic:blipFill>
                    <a:blip r:embed="rId5"/>
                    <a:stretch>
                      <a:fillRect/>
                    </a:stretch>
                  </pic:blipFill>
                  <pic:spPr>
                    <a:xfrm>
                      <a:off x="0" y="0"/>
                      <a:ext cx="5934075" cy="8391525"/>
                    </a:xfrm>
                    <a:prstGeom prst="rect">
                      <a:avLst/>
                    </a:prstGeom>
                  </pic:spPr>
                </pic:pic>
              </a:graphicData>
            </a:graphic>
          </wp:inline>
        </w:drawing>
      </w:r>
    </w:p>
    <w:p w14:paraId="360B28EA">
      <w:pPr>
        <w:jc w:val="center"/>
        <w:rPr>
          <w:rFonts w:hint="eastAsia"/>
          <w:b/>
          <w:bCs/>
          <w:sz w:val="48"/>
          <w:szCs w:val="56"/>
          <w:lang w:eastAsia="zh-CN"/>
        </w:rPr>
      </w:pPr>
    </w:p>
    <w:p w14:paraId="541C36EF">
      <w:pPr>
        <w:jc w:val="center"/>
        <w:rPr>
          <w:rFonts w:hint="eastAsia"/>
          <w:b/>
          <w:bCs/>
          <w:sz w:val="48"/>
          <w:szCs w:val="56"/>
          <w:lang w:eastAsia="zh-CN"/>
        </w:rPr>
      </w:pPr>
    </w:p>
    <w:p w14:paraId="4BF3BB7E">
      <w:pPr>
        <w:jc w:val="center"/>
        <w:rPr>
          <w:rFonts w:hint="eastAsia"/>
          <w:b/>
          <w:bCs/>
          <w:sz w:val="48"/>
          <w:szCs w:val="56"/>
          <w:lang w:eastAsia="zh-CN"/>
        </w:rPr>
      </w:pPr>
    </w:p>
    <w:p w14:paraId="37BFD3D6">
      <w:pPr>
        <w:jc w:val="center"/>
        <w:rPr>
          <w:rFonts w:hint="eastAsia"/>
          <w:b/>
          <w:bCs/>
          <w:sz w:val="48"/>
          <w:szCs w:val="56"/>
          <w:lang w:eastAsia="zh-CN"/>
        </w:rPr>
      </w:pPr>
      <w:bookmarkStart w:id="288" w:name="_GoBack"/>
      <w:bookmarkEnd w:id="288"/>
      <w:r>
        <w:rPr>
          <w:rFonts w:hint="eastAsia"/>
          <w:b/>
          <w:bCs/>
          <w:sz w:val="48"/>
          <w:szCs w:val="56"/>
          <w:lang w:eastAsia="zh-CN"/>
        </w:rPr>
        <w:t>鲁山县林业局鲁山县森林防火监控系统</w:t>
      </w:r>
    </w:p>
    <w:p w14:paraId="6E8E656E">
      <w:pPr>
        <w:jc w:val="center"/>
        <w:rPr>
          <w:rFonts w:hint="eastAsia"/>
          <w:b/>
          <w:bCs/>
          <w:sz w:val="48"/>
          <w:szCs w:val="56"/>
          <w:lang w:eastAsia="zh-CN"/>
        </w:rPr>
      </w:pPr>
      <w:r>
        <w:rPr>
          <w:rFonts w:hint="eastAsia"/>
          <w:b/>
          <w:bCs/>
          <w:sz w:val="48"/>
          <w:szCs w:val="56"/>
          <w:lang w:eastAsia="zh-CN"/>
        </w:rPr>
        <w:t>设备及服务采购项目</w:t>
      </w:r>
    </w:p>
    <w:p w14:paraId="0CE08E62">
      <w:pPr>
        <w:jc w:val="center"/>
        <w:rPr>
          <w:b/>
          <w:bCs/>
          <w:sz w:val="48"/>
          <w:szCs w:val="56"/>
        </w:rPr>
      </w:pPr>
    </w:p>
    <w:p w14:paraId="6D8FECEC">
      <w:pPr>
        <w:pStyle w:val="31"/>
        <w:ind w:firstLine="420"/>
      </w:pPr>
    </w:p>
    <w:p w14:paraId="1A63D746"/>
    <w:p w14:paraId="1215F6FF">
      <w:pPr>
        <w:pStyle w:val="31"/>
        <w:ind w:firstLine="420"/>
      </w:pPr>
    </w:p>
    <w:p w14:paraId="3C73B274"/>
    <w:p w14:paraId="1F82A082">
      <w:pPr>
        <w:snapToGrid w:val="0"/>
        <w:spacing w:line="360" w:lineRule="auto"/>
        <w:jc w:val="center"/>
        <w:rPr>
          <w:rFonts w:ascii="宋体" w:hAnsi="宋体" w:cs="宋体"/>
          <w:b/>
          <w:sz w:val="84"/>
          <w:szCs w:val="84"/>
        </w:rPr>
      </w:pPr>
      <w:r>
        <w:rPr>
          <w:rFonts w:hint="eastAsia" w:ascii="宋体" w:hAnsi="宋体" w:cs="宋体"/>
          <w:b/>
          <w:sz w:val="84"/>
          <w:szCs w:val="84"/>
        </w:rPr>
        <w:t>招标文件</w:t>
      </w:r>
    </w:p>
    <w:p w14:paraId="2A015B50">
      <w:pPr>
        <w:bidi w:val="0"/>
        <w:jc w:val="center"/>
        <w:rPr>
          <w:rFonts w:hint="eastAsia" w:ascii="宋体" w:hAnsi="宋体" w:eastAsia="宋体" w:cs="宋体"/>
          <w:b/>
          <w:bCs/>
          <w:sz w:val="32"/>
          <w:szCs w:val="40"/>
          <w:lang w:val="en-US" w:eastAsia="zh-CN"/>
        </w:rPr>
      </w:pPr>
      <w:r>
        <w:rPr>
          <w:rFonts w:hint="eastAsia" w:ascii="宋体" w:hAnsi="宋体" w:eastAsia="宋体" w:cs="宋体"/>
          <w:b/>
          <w:bCs/>
          <w:sz w:val="32"/>
          <w:szCs w:val="40"/>
        </w:rPr>
        <w:t>采购编号：鲁采招标-</w:t>
      </w:r>
      <w:r>
        <w:rPr>
          <w:rFonts w:hint="eastAsia" w:ascii="宋体" w:hAnsi="宋体" w:eastAsia="宋体" w:cs="宋体"/>
          <w:b/>
          <w:bCs/>
          <w:sz w:val="32"/>
          <w:szCs w:val="40"/>
          <w:lang w:val="en-US" w:eastAsia="zh-CN"/>
        </w:rPr>
        <w:t>2025-109</w:t>
      </w:r>
    </w:p>
    <w:p w14:paraId="46E6D80F">
      <w:pPr>
        <w:spacing w:after="120"/>
      </w:pPr>
    </w:p>
    <w:p w14:paraId="77A33EE2">
      <w:pPr>
        <w:snapToGrid w:val="0"/>
        <w:spacing w:line="480" w:lineRule="auto"/>
        <w:ind w:firstLine="803"/>
        <w:rPr>
          <w:b/>
          <w:sz w:val="32"/>
        </w:rPr>
      </w:pPr>
    </w:p>
    <w:p w14:paraId="682CD825">
      <w:pPr>
        <w:snapToGrid w:val="0"/>
        <w:spacing w:line="480" w:lineRule="auto"/>
        <w:ind w:firstLine="1600"/>
        <w:rPr>
          <w:sz w:val="32"/>
        </w:rPr>
      </w:pPr>
    </w:p>
    <w:p w14:paraId="541A58D2">
      <w:pPr>
        <w:snapToGrid w:val="0"/>
        <w:spacing w:before="100" w:beforeAutospacing="1" w:after="100" w:afterAutospacing="1" w:line="360" w:lineRule="auto"/>
        <w:ind w:left="1418" w:leftChars="665" w:hanging="22" w:hangingChars="8"/>
        <w:rPr>
          <w:rFonts w:ascii="宋体" w:hAnsi="宋体" w:cs="宋体"/>
          <w:b/>
          <w:sz w:val="28"/>
          <w:szCs w:val="28"/>
        </w:rPr>
      </w:pPr>
    </w:p>
    <w:p w14:paraId="3E5E10D2">
      <w:pPr>
        <w:snapToGrid w:val="0"/>
        <w:spacing w:before="100" w:beforeAutospacing="1" w:after="100" w:afterAutospacing="1" w:line="360" w:lineRule="auto"/>
        <w:ind w:left="1418" w:leftChars="665" w:hanging="22" w:hangingChars="8"/>
        <w:rPr>
          <w:rFonts w:ascii="宋体" w:hAnsi="宋体" w:cs="宋体"/>
          <w:b/>
          <w:sz w:val="28"/>
          <w:szCs w:val="28"/>
        </w:rPr>
      </w:pPr>
    </w:p>
    <w:p w14:paraId="5E4D3075">
      <w:pPr>
        <w:pStyle w:val="31"/>
        <w:ind w:firstLine="562"/>
        <w:rPr>
          <w:rFonts w:hAnsi="宋体" w:cs="宋体"/>
          <w:b/>
          <w:sz w:val="28"/>
          <w:szCs w:val="28"/>
        </w:rPr>
      </w:pPr>
    </w:p>
    <w:p w14:paraId="2B85A5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44"/>
          <w:szCs w:val="52"/>
          <w:lang w:eastAsia="zh-CN"/>
        </w:rPr>
      </w:pPr>
      <w:r>
        <w:rPr>
          <w:rFonts w:hint="eastAsia" w:ascii="宋体" w:hAnsi="宋体" w:eastAsia="宋体" w:cs="宋体"/>
          <w:b/>
          <w:bCs/>
          <w:sz w:val="44"/>
          <w:szCs w:val="52"/>
        </w:rPr>
        <w:t>采  购 人：</w:t>
      </w:r>
      <w:r>
        <w:rPr>
          <w:rFonts w:hint="eastAsia" w:ascii="宋体" w:hAnsi="宋体" w:eastAsia="宋体" w:cs="宋体"/>
          <w:b/>
          <w:bCs/>
          <w:sz w:val="44"/>
          <w:szCs w:val="52"/>
          <w:lang w:eastAsia="zh-CN"/>
        </w:rPr>
        <w:t>鲁山县林业局</w:t>
      </w:r>
    </w:p>
    <w:p w14:paraId="493E9F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44"/>
          <w:szCs w:val="52"/>
          <w:lang w:eastAsia="zh-CN"/>
        </w:rPr>
      </w:pPr>
      <w:r>
        <w:rPr>
          <w:rFonts w:hint="eastAsia" w:ascii="宋体" w:hAnsi="宋体" w:eastAsia="宋体" w:cs="宋体"/>
          <w:b/>
          <w:bCs/>
          <w:sz w:val="44"/>
          <w:szCs w:val="52"/>
        </w:rPr>
        <w:t>招标代理机构：</w:t>
      </w:r>
      <w:r>
        <w:rPr>
          <w:rFonts w:hint="eastAsia" w:ascii="宋体" w:hAnsi="宋体" w:eastAsia="宋体" w:cs="宋体"/>
          <w:b/>
          <w:bCs/>
          <w:sz w:val="44"/>
          <w:szCs w:val="52"/>
          <w:lang w:eastAsia="zh-CN"/>
        </w:rPr>
        <w:t>河南智升工程咨询有限公司</w:t>
      </w:r>
    </w:p>
    <w:p w14:paraId="2B0C80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44"/>
          <w:szCs w:val="52"/>
        </w:rPr>
      </w:pPr>
      <w:r>
        <w:rPr>
          <w:rFonts w:hint="eastAsia" w:ascii="宋体" w:hAnsi="宋体" w:eastAsia="宋体" w:cs="宋体"/>
          <w:b/>
          <w:bCs/>
          <w:sz w:val="44"/>
          <w:szCs w:val="52"/>
        </w:rPr>
        <w:t>日      期：二〇二</w:t>
      </w:r>
      <w:r>
        <w:rPr>
          <w:rFonts w:hint="eastAsia" w:ascii="宋体" w:hAnsi="宋体" w:eastAsia="宋体" w:cs="宋体"/>
          <w:b/>
          <w:bCs/>
          <w:sz w:val="44"/>
          <w:szCs w:val="52"/>
          <w:lang w:val="en-US" w:eastAsia="zh-CN"/>
        </w:rPr>
        <w:t>五</w:t>
      </w:r>
      <w:r>
        <w:rPr>
          <w:rFonts w:hint="eastAsia" w:ascii="宋体" w:hAnsi="宋体" w:eastAsia="宋体" w:cs="宋体"/>
          <w:b/>
          <w:bCs/>
          <w:sz w:val="44"/>
          <w:szCs w:val="52"/>
        </w:rPr>
        <w:t>年</w:t>
      </w:r>
      <w:r>
        <w:rPr>
          <w:rFonts w:hint="eastAsia" w:ascii="宋体" w:hAnsi="宋体" w:eastAsia="宋体" w:cs="宋体"/>
          <w:b/>
          <w:bCs/>
          <w:sz w:val="44"/>
          <w:szCs w:val="52"/>
          <w:lang w:val="en-US" w:eastAsia="zh-CN"/>
        </w:rPr>
        <w:t>十一</w:t>
      </w:r>
      <w:r>
        <w:rPr>
          <w:rFonts w:hint="eastAsia" w:ascii="宋体" w:hAnsi="宋体" w:eastAsia="宋体" w:cs="宋体"/>
          <w:b/>
          <w:bCs/>
          <w:sz w:val="44"/>
          <w:szCs w:val="52"/>
        </w:rPr>
        <w:t>月</w:t>
      </w:r>
    </w:p>
    <w:p w14:paraId="3BFCB974">
      <w:pPr>
        <w:pStyle w:val="19"/>
        <w:ind w:firstLine="210"/>
      </w:pPr>
    </w:p>
    <w:p w14:paraId="38A989A0">
      <w:pPr>
        <w:pStyle w:val="19"/>
        <w:ind w:firstLine="210"/>
        <w:sectPr>
          <w:footerReference r:id="rId3" w:type="default"/>
          <w:pgSz w:w="11906" w:h="16838"/>
          <w:pgMar w:top="1134" w:right="1134" w:bottom="1418" w:left="1418" w:header="851" w:footer="992" w:gutter="0"/>
          <w:cols w:space="425" w:num="1"/>
          <w:titlePg/>
          <w:docGrid w:type="lines" w:linePitch="312" w:charSpace="0"/>
        </w:sectPr>
      </w:pPr>
    </w:p>
    <w:p w14:paraId="5B97CDA1">
      <w:pPr>
        <w:spacing w:line="360" w:lineRule="auto"/>
        <w:jc w:val="center"/>
        <w:rPr>
          <w:rFonts w:ascii="宋体" w:hAnsi="宋体" w:cs="宋体"/>
          <w:b/>
          <w:sz w:val="36"/>
          <w:szCs w:val="36"/>
        </w:rPr>
      </w:pPr>
      <w:r>
        <w:rPr>
          <w:rFonts w:hint="eastAsia" w:ascii="宋体" w:hAnsi="宋体" w:cs="宋体"/>
          <w:b/>
          <w:sz w:val="36"/>
          <w:szCs w:val="36"/>
        </w:rPr>
        <w:t>目 录</w:t>
      </w:r>
    </w:p>
    <w:p w14:paraId="13FBBEEF">
      <w:pPr>
        <w:pStyle w:val="16"/>
        <w:rPr>
          <w:rFonts w:ascii="宋体" w:hAnsi="宋体" w:cstheme="minorBidi"/>
          <w:sz w:val="24"/>
        </w:rPr>
      </w:pPr>
      <w:r>
        <w:fldChar w:fldCharType="begin"/>
      </w:r>
      <w:r>
        <w:instrText xml:space="preserve"> TOC \o "1-1" \h \z \u </w:instrText>
      </w:r>
      <w:r>
        <w:fldChar w:fldCharType="separate"/>
      </w:r>
      <w:r>
        <w:fldChar w:fldCharType="begin"/>
      </w:r>
      <w:r>
        <w:instrText xml:space="preserve"> HYPERLINK \l "_Toc119784535" </w:instrText>
      </w:r>
      <w:r>
        <w:fldChar w:fldCharType="separate"/>
      </w:r>
      <w:r>
        <w:rPr>
          <w:rStyle w:val="27"/>
          <w:rFonts w:ascii="宋体" w:hAnsi="宋体"/>
          <w:sz w:val="24"/>
        </w:rPr>
        <w:t>第一章  招标公告</w:t>
      </w:r>
      <w:r>
        <w:rPr>
          <w:rFonts w:ascii="宋体" w:hAnsi="宋体"/>
          <w:sz w:val="24"/>
        </w:rPr>
        <w:tab/>
      </w:r>
      <w:r>
        <w:rPr>
          <w:rFonts w:ascii="宋体" w:hAnsi="宋体"/>
          <w:sz w:val="24"/>
        </w:rPr>
        <w:fldChar w:fldCharType="end"/>
      </w:r>
    </w:p>
    <w:p w14:paraId="0105FE1A">
      <w:pPr>
        <w:pStyle w:val="16"/>
        <w:rPr>
          <w:rFonts w:ascii="宋体" w:hAnsi="宋体" w:cstheme="minorBidi"/>
          <w:sz w:val="24"/>
        </w:rPr>
      </w:pPr>
      <w:r>
        <w:fldChar w:fldCharType="begin"/>
      </w:r>
      <w:r>
        <w:instrText xml:space="preserve"> HYPERLINK \l "_Toc119784536" </w:instrText>
      </w:r>
      <w:r>
        <w:fldChar w:fldCharType="separate"/>
      </w:r>
      <w:r>
        <w:rPr>
          <w:rStyle w:val="27"/>
          <w:rFonts w:ascii="宋体" w:hAnsi="宋体"/>
          <w:sz w:val="24"/>
        </w:rPr>
        <w:t>第二章  投标人须知</w:t>
      </w:r>
      <w:r>
        <w:rPr>
          <w:rFonts w:ascii="宋体" w:hAnsi="宋体"/>
          <w:sz w:val="24"/>
        </w:rPr>
        <w:tab/>
      </w:r>
      <w:r>
        <w:rPr>
          <w:rFonts w:ascii="宋体" w:hAnsi="宋体"/>
          <w:sz w:val="24"/>
        </w:rPr>
        <w:fldChar w:fldCharType="end"/>
      </w:r>
    </w:p>
    <w:p w14:paraId="113E0D28">
      <w:pPr>
        <w:pStyle w:val="16"/>
        <w:rPr>
          <w:rFonts w:ascii="宋体" w:hAnsi="宋体" w:cstheme="minorBidi"/>
          <w:sz w:val="24"/>
        </w:rPr>
      </w:pPr>
      <w:r>
        <w:fldChar w:fldCharType="begin"/>
      </w:r>
      <w:r>
        <w:instrText xml:space="preserve"> HYPERLINK \l "_Toc119784537" </w:instrText>
      </w:r>
      <w:r>
        <w:fldChar w:fldCharType="separate"/>
      </w:r>
      <w:r>
        <w:rPr>
          <w:rStyle w:val="27"/>
          <w:rFonts w:ascii="宋体" w:hAnsi="宋体"/>
          <w:sz w:val="24"/>
        </w:rPr>
        <w:t>第三章  评标办法</w:t>
      </w:r>
      <w:r>
        <w:rPr>
          <w:rFonts w:ascii="宋体" w:hAnsi="宋体"/>
          <w:sz w:val="24"/>
        </w:rPr>
        <w:tab/>
      </w:r>
      <w:r>
        <w:rPr>
          <w:rFonts w:ascii="宋体" w:hAnsi="宋体"/>
          <w:sz w:val="24"/>
        </w:rPr>
        <w:fldChar w:fldCharType="end"/>
      </w:r>
    </w:p>
    <w:p w14:paraId="317AF6E8">
      <w:pPr>
        <w:pStyle w:val="16"/>
        <w:rPr>
          <w:rFonts w:ascii="宋体" w:hAnsi="宋体" w:cstheme="minorBidi"/>
          <w:sz w:val="24"/>
        </w:rPr>
      </w:pPr>
      <w:r>
        <w:fldChar w:fldCharType="begin"/>
      </w:r>
      <w:r>
        <w:instrText xml:space="preserve"> HYPERLINK \l "_Toc119784538" </w:instrText>
      </w:r>
      <w:r>
        <w:fldChar w:fldCharType="separate"/>
      </w:r>
      <w:r>
        <w:rPr>
          <w:rStyle w:val="27"/>
          <w:rFonts w:ascii="宋体" w:hAnsi="宋体"/>
          <w:sz w:val="24"/>
        </w:rPr>
        <w:t>第四章  合同条款及格式</w:t>
      </w:r>
      <w:r>
        <w:rPr>
          <w:rFonts w:ascii="宋体" w:hAnsi="宋体"/>
          <w:sz w:val="24"/>
        </w:rPr>
        <w:tab/>
      </w:r>
      <w:r>
        <w:rPr>
          <w:rFonts w:ascii="宋体" w:hAnsi="宋体"/>
          <w:sz w:val="24"/>
        </w:rPr>
        <w:fldChar w:fldCharType="end"/>
      </w:r>
    </w:p>
    <w:p w14:paraId="0E37A310">
      <w:pPr>
        <w:pStyle w:val="16"/>
        <w:rPr>
          <w:rFonts w:ascii="宋体" w:hAnsi="宋体" w:cstheme="minorBidi"/>
          <w:sz w:val="24"/>
        </w:rPr>
      </w:pPr>
      <w:r>
        <w:fldChar w:fldCharType="begin"/>
      </w:r>
      <w:r>
        <w:instrText xml:space="preserve"> HYPERLINK \l "_Toc119784539" </w:instrText>
      </w:r>
      <w:r>
        <w:fldChar w:fldCharType="separate"/>
      </w:r>
      <w:r>
        <w:rPr>
          <w:rStyle w:val="27"/>
          <w:rFonts w:ascii="宋体" w:hAnsi="宋体"/>
          <w:sz w:val="24"/>
        </w:rPr>
        <w:t xml:space="preserve">第五章  </w:t>
      </w:r>
      <w:r>
        <w:rPr>
          <w:rStyle w:val="27"/>
          <w:rFonts w:hint="eastAsia" w:ascii="宋体" w:hAnsi="宋体"/>
          <w:sz w:val="24"/>
        </w:rPr>
        <w:t>采购项目清单和技术要求</w:t>
      </w:r>
      <w:r>
        <w:rPr>
          <w:rFonts w:ascii="宋体" w:hAnsi="宋体"/>
          <w:sz w:val="24"/>
        </w:rPr>
        <w:tab/>
      </w:r>
      <w:r>
        <w:rPr>
          <w:rFonts w:ascii="宋体" w:hAnsi="宋体"/>
          <w:sz w:val="24"/>
        </w:rPr>
        <w:fldChar w:fldCharType="end"/>
      </w:r>
    </w:p>
    <w:p w14:paraId="4EFD5B5D">
      <w:pPr>
        <w:pStyle w:val="16"/>
        <w:rPr>
          <w:rFonts w:ascii="宋体" w:hAnsi="宋体" w:cstheme="minorBidi"/>
          <w:sz w:val="24"/>
        </w:rPr>
      </w:pPr>
      <w:r>
        <w:fldChar w:fldCharType="begin"/>
      </w:r>
      <w:r>
        <w:instrText xml:space="preserve"> HYPERLINK \l "_Toc119784540" </w:instrText>
      </w:r>
      <w:r>
        <w:fldChar w:fldCharType="separate"/>
      </w:r>
      <w:r>
        <w:rPr>
          <w:rStyle w:val="27"/>
          <w:rFonts w:ascii="宋体" w:hAnsi="宋体"/>
          <w:sz w:val="24"/>
        </w:rPr>
        <w:t xml:space="preserve">第六章  </w:t>
      </w:r>
      <w:r>
        <w:rPr>
          <w:rStyle w:val="27"/>
          <w:rFonts w:ascii="宋体" w:hAnsi="宋体"/>
          <w:sz w:val="24"/>
        </w:rPr>
        <w:fldChar w:fldCharType="end"/>
      </w:r>
      <w:r>
        <w:fldChar w:fldCharType="begin"/>
      </w:r>
      <w:r>
        <w:instrText xml:space="preserve"> HYPERLINK \l "_Toc119784541" </w:instrText>
      </w:r>
      <w:r>
        <w:fldChar w:fldCharType="separate"/>
      </w:r>
      <w:r>
        <w:rPr>
          <w:rStyle w:val="27"/>
          <w:rFonts w:ascii="宋体" w:hAnsi="宋体"/>
          <w:sz w:val="24"/>
        </w:rPr>
        <w:t>投标文件格式</w:t>
      </w:r>
      <w:r>
        <w:rPr>
          <w:rFonts w:ascii="宋体" w:hAnsi="宋体"/>
          <w:sz w:val="24"/>
        </w:rPr>
        <w:tab/>
      </w:r>
      <w:r>
        <w:rPr>
          <w:rFonts w:ascii="宋体" w:hAnsi="宋体"/>
          <w:sz w:val="24"/>
        </w:rPr>
        <w:fldChar w:fldCharType="end"/>
      </w:r>
    </w:p>
    <w:p w14:paraId="785AE57E">
      <w:pPr>
        <w:pStyle w:val="19"/>
        <w:spacing w:line="480" w:lineRule="auto"/>
        <w:ind w:firstLine="0" w:firstLineChars="0"/>
        <w:jc w:val="left"/>
      </w:pPr>
      <w:r>
        <w:fldChar w:fldCharType="end"/>
      </w:r>
    </w:p>
    <w:p w14:paraId="63CC3F93">
      <w:pPr>
        <w:pStyle w:val="19"/>
        <w:ind w:firstLine="0" w:firstLineChars="0"/>
      </w:pPr>
    </w:p>
    <w:p w14:paraId="74C61F6F">
      <w:pPr>
        <w:pStyle w:val="19"/>
        <w:ind w:firstLine="0" w:firstLineChars="0"/>
        <w:sectPr>
          <w:pgSz w:w="11906" w:h="16838"/>
          <w:pgMar w:top="1134" w:right="1134" w:bottom="1418" w:left="1418" w:header="851" w:footer="992" w:gutter="0"/>
          <w:pgNumType w:start="1"/>
          <w:cols w:space="425" w:num="1"/>
          <w:docGrid w:type="lines" w:linePitch="312" w:charSpace="0"/>
        </w:sectPr>
      </w:pPr>
    </w:p>
    <w:p w14:paraId="144743D5">
      <w:pPr>
        <w:bidi w:val="0"/>
        <w:jc w:val="center"/>
        <w:rPr>
          <w:rFonts w:hint="eastAsia" w:ascii="宋体" w:hAnsi="宋体" w:eastAsia="宋体" w:cs="宋体"/>
          <w:b/>
          <w:bCs/>
          <w:sz w:val="32"/>
          <w:szCs w:val="40"/>
        </w:rPr>
      </w:pPr>
      <w:bookmarkStart w:id="0" w:name="_Toc119784535"/>
      <w:bookmarkStart w:id="1" w:name="_Toc118733359"/>
      <w:r>
        <w:rPr>
          <w:rFonts w:hint="eastAsia" w:ascii="宋体" w:hAnsi="宋体" w:eastAsia="宋体" w:cs="宋体"/>
          <w:b/>
          <w:bCs/>
          <w:sz w:val="32"/>
          <w:szCs w:val="40"/>
        </w:rPr>
        <w:t>第一章  招标公告</w:t>
      </w:r>
      <w:bookmarkEnd w:id="0"/>
      <w:bookmarkEnd w:id="1"/>
      <w:bookmarkStart w:id="2" w:name="_Toc17722_WPSOffice_Level1"/>
    </w:p>
    <w:bookmarkEnd w:id="2"/>
    <w:p w14:paraId="6DC73D14">
      <w:pPr>
        <w:bidi w:val="0"/>
        <w:jc w:val="center"/>
        <w:rPr>
          <w:rFonts w:hint="eastAsia" w:ascii="宋体" w:hAnsi="宋体" w:eastAsia="宋体" w:cs="宋体"/>
          <w:b/>
          <w:bCs/>
          <w:sz w:val="32"/>
          <w:szCs w:val="40"/>
          <w:lang w:eastAsia="zh-CN"/>
        </w:rPr>
      </w:pPr>
      <w:r>
        <w:rPr>
          <w:rFonts w:hint="eastAsia" w:ascii="宋体" w:hAnsi="宋体" w:eastAsia="宋体" w:cs="宋体"/>
          <w:b/>
          <w:bCs/>
          <w:sz w:val="32"/>
          <w:szCs w:val="40"/>
        </w:rPr>
        <w:t>【平公资采20251102号】</w:t>
      </w:r>
      <w:r>
        <w:rPr>
          <w:rFonts w:hint="eastAsia" w:ascii="宋体" w:hAnsi="宋体" w:eastAsia="宋体" w:cs="宋体"/>
          <w:b/>
          <w:bCs/>
          <w:sz w:val="32"/>
          <w:szCs w:val="40"/>
          <w:lang w:eastAsia="zh-CN"/>
        </w:rPr>
        <w:t>鲁山县林业局鲁山县森林防火监控系统</w:t>
      </w:r>
    </w:p>
    <w:p w14:paraId="3385D4D4">
      <w:pPr>
        <w:bidi w:val="0"/>
        <w:jc w:val="center"/>
        <w:rPr>
          <w:rFonts w:hint="eastAsia" w:ascii="宋体" w:hAnsi="宋体" w:eastAsia="宋体" w:cs="宋体"/>
          <w:b/>
          <w:bCs/>
          <w:sz w:val="32"/>
          <w:szCs w:val="40"/>
          <w:lang w:eastAsia="zh-CN"/>
        </w:rPr>
      </w:pPr>
      <w:r>
        <w:rPr>
          <w:rFonts w:hint="eastAsia" w:ascii="宋体" w:hAnsi="宋体" w:eastAsia="宋体" w:cs="宋体"/>
          <w:b/>
          <w:bCs/>
          <w:sz w:val="32"/>
          <w:szCs w:val="40"/>
          <w:lang w:eastAsia="zh-CN"/>
        </w:rPr>
        <w:t>设备及服务采购项目</w:t>
      </w:r>
    </w:p>
    <w:p w14:paraId="16ADE7BC">
      <w:pPr>
        <w:bidi w:val="0"/>
        <w:jc w:val="center"/>
        <w:rPr>
          <w:rFonts w:hint="eastAsia" w:ascii="宋体" w:hAnsi="宋体" w:eastAsia="宋体" w:cs="宋体"/>
          <w:b/>
          <w:bCs/>
          <w:sz w:val="32"/>
          <w:szCs w:val="40"/>
        </w:rPr>
      </w:pPr>
      <w:r>
        <w:rPr>
          <w:rFonts w:hint="eastAsia" w:ascii="宋体" w:hAnsi="宋体" w:eastAsia="宋体" w:cs="宋体"/>
          <w:b/>
          <w:bCs/>
          <w:sz w:val="32"/>
          <w:szCs w:val="40"/>
        </w:rPr>
        <w:t>公开招标公告</w:t>
      </w:r>
    </w:p>
    <w:p w14:paraId="06A4FB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7E5D92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鲁山县林业局鲁山县森林防火监控系统设备及服务采购项目</w:t>
      </w:r>
      <w:r>
        <w:rPr>
          <w:rFonts w:hint="eastAsia" w:ascii="宋体" w:hAnsi="宋体" w:eastAsia="宋体" w:cs="宋体"/>
          <w:sz w:val="24"/>
          <w:szCs w:val="24"/>
        </w:rPr>
        <w:t>招标项目的潜在投标人应在平顶山市公共资源交易中心电子交易系统网（网址：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"http://ggzy.pds.gov.cn/）获取招标文件，并于2024年07月" </w:instrText>
      </w:r>
      <w:r>
        <w:rPr>
          <w:rFonts w:hint="eastAsia" w:ascii="宋体" w:hAnsi="宋体" w:eastAsia="宋体" w:cs="宋体"/>
          <w:sz w:val="24"/>
          <w:szCs w:val="24"/>
        </w:rPr>
        <w:fldChar w:fldCharType="separate"/>
      </w:r>
      <w:r>
        <w:rPr>
          <w:rFonts w:hint="eastAsia" w:ascii="宋体" w:hAnsi="宋体" w:eastAsia="宋体" w:cs="宋体"/>
          <w:sz w:val="24"/>
          <w:szCs w:val="24"/>
        </w:rPr>
        <w:t>http://ggzy.pds.gov.cn/）获取招标文件，并于202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r>
        <w:rPr>
          <w:rFonts w:hint="eastAsia" w:ascii="宋体" w:hAnsi="宋体" w:eastAsia="宋体" w:cs="宋体"/>
          <w:sz w:val="24"/>
          <w:szCs w:val="24"/>
        </w:rPr>
        <w:t>日</w:t>
      </w:r>
      <w:r>
        <w:rPr>
          <w:rFonts w:hint="eastAsia" w:ascii="宋体" w:hAnsi="宋体" w:eastAsia="宋体" w:cs="宋体"/>
          <w:sz w:val="24"/>
          <w:szCs w:val="24"/>
          <w:lang w:val="en-US" w:eastAsia="zh-CN"/>
        </w:rPr>
        <w:t>9</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分（北京时间）前递交投标文件。</w:t>
      </w:r>
    </w:p>
    <w:p w14:paraId="57A4F7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 xml:space="preserve">一、项目基本情况 </w:t>
      </w:r>
    </w:p>
    <w:p w14:paraId="43C2F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lang w:eastAsia="zh-CN"/>
        </w:rPr>
      </w:pPr>
      <w:r>
        <w:rPr>
          <w:rFonts w:hint="eastAsia" w:ascii="宋体" w:hAnsi="宋体" w:eastAsia="宋体" w:cs="宋体"/>
          <w:sz w:val="24"/>
          <w:szCs w:val="24"/>
        </w:rPr>
        <w:t>1、采购编号：鲁采招标-</w:t>
      </w:r>
      <w:r>
        <w:rPr>
          <w:rFonts w:hint="eastAsia" w:ascii="宋体" w:hAnsi="宋体" w:eastAsia="宋体" w:cs="宋体"/>
          <w:sz w:val="24"/>
          <w:szCs w:val="24"/>
          <w:lang w:val="en-US" w:eastAsia="zh-CN"/>
        </w:rPr>
        <w:t>2025-109</w:t>
      </w:r>
    </w:p>
    <w:p w14:paraId="3647C9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2、项目名称：</w:t>
      </w:r>
      <w:r>
        <w:rPr>
          <w:rFonts w:hint="eastAsia" w:ascii="宋体" w:hAnsi="宋体" w:eastAsia="宋体" w:cs="宋体"/>
          <w:sz w:val="24"/>
          <w:szCs w:val="24"/>
          <w:lang w:eastAsia="zh-CN"/>
        </w:rPr>
        <w:t>鲁山县林业局鲁山县森林防火监控系统设备及服务采购项目</w:t>
      </w:r>
    </w:p>
    <w:p w14:paraId="29F0C1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3、采购方式：公开招标</w:t>
      </w:r>
    </w:p>
    <w:p w14:paraId="22AB8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4、预算金额：</w:t>
      </w:r>
      <w:r>
        <w:rPr>
          <w:rFonts w:hint="eastAsia" w:ascii="宋体" w:hAnsi="宋体" w:eastAsia="宋体" w:cs="宋体"/>
          <w:sz w:val="24"/>
          <w:szCs w:val="24"/>
          <w:lang w:eastAsia="zh-CN"/>
        </w:rPr>
        <w:t>930946.00</w:t>
      </w:r>
      <w:r>
        <w:rPr>
          <w:rFonts w:hint="eastAsia" w:ascii="宋体" w:hAnsi="宋体" w:eastAsia="宋体" w:cs="宋体"/>
          <w:sz w:val="24"/>
          <w:szCs w:val="24"/>
        </w:rPr>
        <w:t>元</w:t>
      </w:r>
    </w:p>
    <w:p w14:paraId="46EC3C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lang w:eastAsia="zh-CN"/>
        </w:rPr>
        <w:t>930946.00</w:t>
      </w:r>
      <w:r>
        <w:rPr>
          <w:rFonts w:hint="eastAsia" w:ascii="宋体" w:hAnsi="宋体" w:eastAsia="宋体" w:cs="宋体"/>
          <w:sz w:val="24"/>
          <w:szCs w:val="24"/>
        </w:rPr>
        <w:t>元</w:t>
      </w:r>
    </w:p>
    <w:tbl>
      <w:tblPr>
        <w:tblStyle w:val="21"/>
        <w:tblW w:w="96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8"/>
        <w:gridCol w:w="1215"/>
        <w:gridCol w:w="2974"/>
        <w:gridCol w:w="1202"/>
        <w:gridCol w:w="1202"/>
        <w:gridCol w:w="1361"/>
        <w:gridCol w:w="1065"/>
      </w:tblGrid>
      <w:tr w14:paraId="60154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jc w:val="cent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39C5273">
            <w:pPr>
              <w:bidi w:val="0"/>
              <w:jc w:val="center"/>
              <w:rPr>
                <w:rFonts w:hint="eastAsia"/>
              </w:rPr>
            </w:pPr>
            <w:r>
              <w:rPr>
                <w:rFonts w:hint="eastAsia"/>
                <w:lang w:eastAsia="zh-CN"/>
              </w:rPr>
              <w:t>序号</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225467B">
            <w:pPr>
              <w:bidi w:val="0"/>
              <w:jc w:val="center"/>
              <w:rPr>
                <w:rFonts w:hint="eastAsia"/>
                <w:lang w:eastAsia="zh-CN"/>
              </w:rPr>
            </w:pPr>
            <w:r>
              <w:rPr>
                <w:rFonts w:hint="eastAsia"/>
                <w:lang w:eastAsia="zh-CN"/>
              </w:rPr>
              <w:t>包号</w:t>
            </w:r>
          </w:p>
        </w:tc>
        <w:tc>
          <w:tcPr>
            <w:tcW w:w="2974" w:type="dxa"/>
            <w:tcBorders>
              <w:top w:val="single" w:color="000000" w:sz="4" w:space="0"/>
              <w:left w:val="single" w:color="000000" w:sz="4" w:space="0"/>
              <w:bottom w:val="single" w:color="000000" w:sz="4" w:space="0"/>
              <w:right w:val="single" w:color="000000" w:sz="4" w:space="0"/>
            </w:tcBorders>
            <w:noWrap w:val="0"/>
            <w:vAlign w:val="center"/>
          </w:tcPr>
          <w:p w14:paraId="34418DD9">
            <w:pPr>
              <w:bidi w:val="0"/>
              <w:jc w:val="center"/>
              <w:rPr>
                <w:rFonts w:hint="eastAsia"/>
                <w:lang w:eastAsia="zh-CN"/>
              </w:rPr>
            </w:pPr>
            <w:r>
              <w:rPr>
                <w:rFonts w:hint="eastAsia"/>
                <w:lang w:eastAsia="zh-CN"/>
              </w:rPr>
              <w:t>包名称</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6EDCC3E">
            <w:pPr>
              <w:bidi w:val="0"/>
              <w:jc w:val="center"/>
              <w:rPr>
                <w:rFonts w:hint="eastAsia"/>
                <w:lang w:eastAsia="zh-CN"/>
              </w:rPr>
            </w:pPr>
            <w:r>
              <w:rPr>
                <w:rFonts w:hint="eastAsia"/>
                <w:lang w:eastAsia="zh-CN"/>
              </w:rPr>
              <w:t>包预算</w:t>
            </w:r>
          </w:p>
          <w:p w14:paraId="5647D624">
            <w:pPr>
              <w:bidi w:val="0"/>
              <w:jc w:val="center"/>
              <w:rPr>
                <w:rFonts w:hint="eastAsia"/>
                <w:lang w:eastAsia="zh-CN"/>
              </w:rPr>
            </w:pPr>
            <w:r>
              <w:rPr>
                <w:rFonts w:hint="eastAsia"/>
                <w:lang w:eastAsia="zh-CN"/>
              </w:rPr>
              <w:t>（元）</w:t>
            </w:r>
          </w:p>
        </w:tc>
        <w:tc>
          <w:tcPr>
            <w:tcW w:w="1202" w:type="dxa"/>
            <w:tcBorders>
              <w:top w:val="single" w:color="000000" w:sz="4" w:space="0"/>
              <w:left w:val="single" w:color="000000" w:sz="4" w:space="0"/>
              <w:bottom w:val="single" w:color="000000" w:sz="4" w:space="0"/>
              <w:right w:val="single" w:color="auto" w:sz="4" w:space="0"/>
            </w:tcBorders>
            <w:noWrap w:val="0"/>
            <w:vAlign w:val="center"/>
          </w:tcPr>
          <w:p w14:paraId="691EB59D">
            <w:pPr>
              <w:bidi w:val="0"/>
              <w:jc w:val="center"/>
              <w:rPr>
                <w:rFonts w:hint="eastAsia"/>
                <w:lang w:eastAsia="zh-CN"/>
              </w:rPr>
            </w:pPr>
            <w:r>
              <w:rPr>
                <w:rFonts w:hint="eastAsia"/>
                <w:lang w:eastAsia="zh-CN"/>
              </w:rPr>
              <w:t>包最高</w:t>
            </w:r>
          </w:p>
          <w:p w14:paraId="2AB23FE4">
            <w:pPr>
              <w:bidi w:val="0"/>
              <w:jc w:val="center"/>
              <w:rPr>
                <w:rFonts w:hint="eastAsia"/>
                <w:lang w:eastAsia="zh-CN"/>
              </w:rPr>
            </w:pPr>
            <w:r>
              <w:rPr>
                <w:rFonts w:hint="eastAsia"/>
                <w:lang w:eastAsia="zh-CN"/>
              </w:rPr>
              <w:t>限价（元）</w:t>
            </w:r>
          </w:p>
        </w:tc>
        <w:tc>
          <w:tcPr>
            <w:tcW w:w="1361" w:type="dxa"/>
            <w:tcBorders>
              <w:top w:val="single" w:color="000000" w:sz="4" w:space="0"/>
              <w:left w:val="single" w:color="auto" w:sz="4" w:space="0"/>
              <w:bottom w:val="single" w:color="000000" w:sz="4" w:space="0"/>
              <w:right w:val="single" w:color="auto" w:sz="4" w:space="0"/>
            </w:tcBorders>
            <w:noWrap w:val="0"/>
            <w:vAlign w:val="center"/>
          </w:tcPr>
          <w:p w14:paraId="32804B01">
            <w:pPr>
              <w:bidi w:val="0"/>
              <w:jc w:val="center"/>
              <w:rPr>
                <w:rFonts w:hint="eastAsia"/>
                <w:lang w:eastAsia="zh-CN"/>
              </w:rPr>
            </w:pPr>
            <w:r>
              <w:rPr>
                <w:rFonts w:hint="eastAsia"/>
                <w:lang w:eastAsia="zh-CN"/>
              </w:rPr>
              <w:t>是否专门面向中小企业</w:t>
            </w:r>
          </w:p>
        </w:tc>
        <w:tc>
          <w:tcPr>
            <w:tcW w:w="1065" w:type="dxa"/>
            <w:tcBorders>
              <w:top w:val="single" w:color="000000" w:sz="4" w:space="0"/>
              <w:left w:val="single" w:color="auto" w:sz="4" w:space="0"/>
              <w:bottom w:val="single" w:color="000000" w:sz="4" w:space="0"/>
              <w:right w:val="single" w:color="000000" w:sz="4" w:space="0"/>
            </w:tcBorders>
            <w:noWrap w:val="0"/>
            <w:vAlign w:val="center"/>
          </w:tcPr>
          <w:p w14:paraId="3E45FB36">
            <w:pPr>
              <w:bidi w:val="0"/>
              <w:jc w:val="center"/>
              <w:rPr>
                <w:rFonts w:hint="eastAsia"/>
                <w:lang w:eastAsia="zh-CN"/>
              </w:rPr>
            </w:pPr>
            <w:r>
              <w:rPr>
                <w:rFonts w:hint="eastAsia"/>
                <w:lang w:eastAsia="zh-CN"/>
              </w:rPr>
              <w:t>采购预留</w:t>
            </w:r>
          </w:p>
          <w:p w14:paraId="4EF15F90">
            <w:pPr>
              <w:bidi w:val="0"/>
              <w:jc w:val="center"/>
              <w:rPr>
                <w:rFonts w:hint="eastAsia"/>
                <w:lang w:eastAsia="zh-CN"/>
              </w:rPr>
            </w:pPr>
            <w:r>
              <w:rPr>
                <w:rFonts w:hint="eastAsia"/>
                <w:lang w:eastAsia="zh-CN"/>
              </w:rPr>
              <w:t>金额（元）</w:t>
            </w:r>
          </w:p>
        </w:tc>
      </w:tr>
      <w:tr w14:paraId="35D17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jc w:val="cent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BC40187">
            <w:pPr>
              <w:bidi w:val="0"/>
              <w:jc w:val="center"/>
              <w:rPr>
                <w:rFonts w:hint="eastAsia"/>
              </w:rPr>
            </w:pPr>
            <w:r>
              <w:rPr>
                <w:rFonts w:hint="eastAsia"/>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287D45B">
            <w:pPr>
              <w:bidi w:val="0"/>
              <w:jc w:val="center"/>
              <w:rPr>
                <w:rFonts w:hint="eastAsia"/>
                <w:lang w:val="en-US" w:eastAsia="zh-CN"/>
              </w:rPr>
            </w:pPr>
            <w:r>
              <w:rPr>
                <w:rFonts w:hint="eastAsia"/>
              </w:rPr>
              <w:t>平公资采20251102号</w:t>
            </w:r>
            <w:r>
              <w:rPr>
                <w:rFonts w:hint="eastAsia"/>
                <w:lang w:val="en-US" w:eastAsia="zh-CN"/>
              </w:rPr>
              <w:t>-1</w:t>
            </w:r>
          </w:p>
        </w:tc>
        <w:tc>
          <w:tcPr>
            <w:tcW w:w="2974" w:type="dxa"/>
            <w:tcBorders>
              <w:top w:val="single" w:color="000000" w:sz="4" w:space="0"/>
              <w:left w:val="single" w:color="000000" w:sz="4" w:space="0"/>
              <w:bottom w:val="single" w:color="000000" w:sz="4" w:space="0"/>
              <w:right w:val="single" w:color="000000" w:sz="4" w:space="0"/>
            </w:tcBorders>
            <w:noWrap w:val="0"/>
            <w:vAlign w:val="center"/>
          </w:tcPr>
          <w:p w14:paraId="57ED281F">
            <w:pPr>
              <w:bidi w:val="0"/>
              <w:jc w:val="center"/>
              <w:rPr>
                <w:rFonts w:hint="eastAsia"/>
                <w:lang w:eastAsia="zh-CN"/>
              </w:rPr>
            </w:pPr>
            <w:r>
              <w:rPr>
                <w:rFonts w:hint="eastAsia"/>
                <w:lang w:eastAsia="zh-CN"/>
              </w:rPr>
              <w:t>鲁山县林业局鲁山县森林防火</w:t>
            </w:r>
          </w:p>
          <w:p w14:paraId="12E9C75D">
            <w:pPr>
              <w:bidi w:val="0"/>
              <w:jc w:val="center"/>
              <w:rPr>
                <w:rFonts w:hint="eastAsia"/>
                <w:lang w:eastAsia="zh-CN"/>
              </w:rPr>
            </w:pPr>
            <w:r>
              <w:rPr>
                <w:rFonts w:hint="eastAsia"/>
                <w:lang w:eastAsia="zh-CN"/>
              </w:rPr>
              <w:t>监控系统设备及服务采购项目</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8976FF7">
            <w:pPr>
              <w:bidi w:val="0"/>
              <w:jc w:val="center"/>
              <w:rPr>
                <w:rFonts w:hint="eastAsia"/>
                <w:lang w:val="en-US" w:eastAsia="zh-CN"/>
              </w:rPr>
            </w:pPr>
            <w:r>
              <w:rPr>
                <w:rFonts w:hint="eastAsia"/>
                <w:lang w:val="en-US" w:eastAsia="zh-CN"/>
              </w:rPr>
              <w:t>930946.00</w:t>
            </w:r>
          </w:p>
        </w:tc>
        <w:tc>
          <w:tcPr>
            <w:tcW w:w="1202" w:type="dxa"/>
            <w:tcBorders>
              <w:top w:val="single" w:color="000000" w:sz="4" w:space="0"/>
              <w:left w:val="single" w:color="000000" w:sz="4" w:space="0"/>
              <w:bottom w:val="single" w:color="000000" w:sz="4" w:space="0"/>
              <w:right w:val="single" w:color="auto" w:sz="4" w:space="0"/>
            </w:tcBorders>
            <w:noWrap w:val="0"/>
            <w:vAlign w:val="center"/>
          </w:tcPr>
          <w:p w14:paraId="6388FD64">
            <w:pPr>
              <w:bidi w:val="0"/>
              <w:jc w:val="center"/>
              <w:rPr>
                <w:rFonts w:hint="eastAsia"/>
                <w:lang w:val="en-US" w:eastAsia="zh-CN"/>
              </w:rPr>
            </w:pPr>
            <w:r>
              <w:rPr>
                <w:rFonts w:hint="eastAsia"/>
                <w:lang w:val="en-US" w:eastAsia="zh-CN"/>
              </w:rPr>
              <w:t>930946.00</w:t>
            </w:r>
          </w:p>
        </w:tc>
        <w:tc>
          <w:tcPr>
            <w:tcW w:w="1361" w:type="dxa"/>
            <w:tcBorders>
              <w:top w:val="single" w:color="000000" w:sz="4" w:space="0"/>
              <w:left w:val="single" w:color="auto" w:sz="4" w:space="0"/>
              <w:bottom w:val="single" w:color="000000" w:sz="4" w:space="0"/>
              <w:right w:val="single" w:color="auto" w:sz="4" w:space="0"/>
            </w:tcBorders>
            <w:noWrap w:val="0"/>
            <w:vAlign w:val="center"/>
          </w:tcPr>
          <w:p w14:paraId="77F4E2A6">
            <w:pPr>
              <w:bidi w:val="0"/>
              <w:jc w:val="center"/>
              <w:rPr>
                <w:rFonts w:hint="eastAsia"/>
                <w:lang w:eastAsia="zh-CN"/>
              </w:rPr>
            </w:pPr>
            <w:r>
              <w:rPr>
                <w:rFonts w:hint="eastAsia"/>
                <w:lang w:val="en-US" w:eastAsia="zh-CN"/>
              </w:rPr>
              <w:t>否</w:t>
            </w:r>
          </w:p>
        </w:tc>
        <w:tc>
          <w:tcPr>
            <w:tcW w:w="1065" w:type="dxa"/>
            <w:tcBorders>
              <w:top w:val="single" w:color="000000" w:sz="4" w:space="0"/>
              <w:left w:val="single" w:color="auto" w:sz="4" w:space="0"/>
              <w:bottom w:val="single" w:color="000000" w:sz="4" w:space="0"/>
              <w:right w:val="single" w:color="000000" w:sz="4" w:space="0"/>
            </w:tcBorders>
            <w:noWrap w:val="0"/>
            <w:vAlign w:val="center"/>
          </w:tcPr>
          <w:p w14:paraId="3C016B76">
            <w:pPr>
              <w:bidi w:val="0"/>
              <w:jc w:val="center"/>
              <w:rPr>
                <w:rFonts w:hint="eastAsia"/>
                <w:lang w:val="en-US" w:eastAsia="zh-CN"/>
              </w:rPr>
            </w:pPr>
            <w:r>
              <w:rPr>
                <w:rFonts w:hint="eastAsia"/>
                <w:lang w:val="en-US" w:eastAsia="zh-CN"/>
              </w:rPr>
              <w:t>930946.00</w:t>
            </w:r>
          </w:p>
        </w:tc>
      </w:tr>
    </w:tbl>
    <w:p w14:paraId="7C0E22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5、项目需求：（包括但不限于标的的名称、数量、简要技术需求或服务要求等）</w:t>
      </w:r>
    </w:p>
    <w:p w14:paraId="2D35CC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5.1项目内容：</w:t>
      </w:r>
      <w:r>
        <w:rPr>
          <w:rFonts w:hint="eastAsia" w:ascii="宋体" w:hAnsi="宋体" w:eastAsia="宋体" w:cs="宋体"/>
          <w:sz w:val="24"/>
          <w:szCs w:val="24"/>
          <w:lang w:val="en-US" w:eastAsia="zh-CN"/>
        </w:rPr>
        <w:t>鲁山县林业局鲁山县森林防火系统设备采购安装及服务</w:t>
      </w:r>
      <w:r>
        <w:rPr>
          <w:rFonts w:hint="eastAsia" w:ascii="宋体" w:hAnsi="宋体" w:eastAsia="宋体" w:cs="宋体"/>
          <w:sz w:val="24"/>
          <w:szCs w:val="24"/>
        </w:rPr>
        <w:t>，详见招标文件。</w:t>
      </w:r>
    </w:p>
    <w:p w14:paraId="650A56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5.2资金来源：财政资金，已落实</w:t>
      </w:r>
    </w:p>
    <w:p w14:paraId="2B20AC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5.3标段划分：本项目共划分1个标段</w:t>
      </w:r>
    </w:p>
    <w:p w14:paraId="0985CA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5.4供货期限：</w:t>
      </w:r>
      <w:r>
        <w:rPr>
          <w:rFonts w:hint="eastAsia" w:ascii="宋体" w:hAnsi="宋体" w:eastAsia="宋体" w:cs="宋体"/>
          <w:sz w:val="24"/>
          <w:szCs w:val="24"/>
          <w:lang w:val="en-US" w:eastAsia="zh-CN"/>
        </w:rPr>
        <w:t>合同签订30日历天内供货、安装、调试完毕。</w:t>
      </w:r>
    </w:p>
    <w:p w14:paraId="20B118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5.5交货地点：采购人指定地点；</w:t>
      </w:r>
    </w:p>
    <w:p w14:paraId="43F0CD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5.6质保期：一年</w:t>
      </w:r>
      <w:r>
        <w:rPr>
          <w:rFonts w:hint="eastAsia" w:ascii="宋体" w:hAnsi="宋体" w:eastAsia="宋体" w:cs="宋体"/>
          <w:sz w:val="24"/>
          <w:szCs w:val="24"/>
          <w:lang w:val="en-US" w:eastAsia="zh-CN"/>
        </w:rPr>
        <w:t>（自交付使用之日起）</w:t>
      </w:r>
    </w:p>
    <w:p w14:paraId="0E4583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5.7质量要求：</w:t>
      </w:r>
      <w:r>
        <w:rPr>
          <w:rFonts w:hint="eastAsia" w:ascii="宋体" w:hAnsi="宋体" w:eastAsia="宋体" w:cs="宋体"/>
          <w:sz w:val="24"/>
          <w:szCs w:val="24"/>
          <w:lang w:val="en-US" w:eastAsia="zh-CN"/>
        </w:rPr>
        <w:t>满足采购人需求，达到合格标准</w:t>
      </w:r>
    </w:p>
    <w:p w14:paraId="408E0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6、合同履行期限：详见供货期限</w:t>
      </w:r>
    </w:p>
    <w:p w14:paraId="6D5D54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7、本项目是否接受联合体投标：否</w:t>
      </w:r>
    </w:p>
    <w:p w14:paraId="6A25C4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8、是否接受进口产品：否</w:t>
      </w:r>
    </w:p>
    <w:p w14:paraId="1344F7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9、是否专门面向中小企业：</w:t>
      </w:r>
      <w:r>
        <w:rPr>
          <w:rFonts w:hint="eastAsia" w:ascii="宋体" w:hAnsi="宋体" w:eastAsia="宋体" w:cs="宋体"/>
          <w:bCs/>
          <w:sz w:val="24"/>
          <w:szCs w:val="24"/>
          <w:lang w:val="en-US" w:eastAsia="zh-CN"/>
        </w:rPr>
        <w:t>否</w:t>
      </w:r>
    </w:p>
    <w:p w14:paraId="66ED5E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二、申请人资格要求：</w:t>
      </w:r>
    </w:p>
    <w:p w14:paraId="17D84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3" w:name="OLE_LINK10"/>
      <w:r>
        <w:rPr>
          <w:rFonts w:hint="eastAsia" w:ascii="宋体" w:hAnsi="宋体" w:eastAsia="宋体" w:cs="宋体"/>
          <w:sz w:val="24"/>
          <w:szCs w:val="24"/>
        </w:rPr>
        <w:t>1、满足《中华人民共和国政府采购法》第二十二条规定；</w:t>
      </w:r>
    </w:p>
    <w:p w14:paraId="40F01B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满足的资格要求：本项目非专门面向中小企业采购。供应商为中小微企业、监狱企业、残疾人福利性单位，落实中小企业价格评审优惠政策；中小企业划型标准请依据工信部联企业【2011】300号文件之规定。</w:t>
      </w:r>
    </w:p>
    <w:p w14:paraId="29CF77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63E551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符合《中华人民共和国政府采购法》第二十二条的规定</w:t>
      </w:r>
    </w:p>
    <w:p w14:paraId="763B6E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r>
        <w:rPr>
          <w:rFonts w:hint="eastAsia" w:ascii="宋体" w:hAnsi="宋体" w:eastAsia="宋体" w:cs="宋体"/>
          <w:sz w:val="24"/>
          <w:szCs w:val="24"/>
          <w:highlight w:val="none"/>
        </w:rPr>
        <w:t>含当地分公司或分支机构</w:t>
      </w:r>
      <w:r>
        <w:rPr>
          <w:rFonts w:hint="eastAsia" w:ascii="宋体" w:hAnsi="宋体" w:eastAsia="宋体" w:cs="宋体"/>
          <w:sz w:val="24"/>
          <w:szCs w:val="24"/>
          <w:highlight w:val="none"/>
          <w:lang w:eastAsia="zh-CN"/>
        </w:rPr>
        <w:t>，</w:t>
      </w:r>
      <w:r>
        <w:rPr>
          <w:rFonts w:hint="eastAsia" w:ascii="宋体" w:hAnsi="宋体" w:eastAsia="宋体" w:cs="宋体"/>
          <w:sz w:val="24"/>
          <w:szCs w:val="24"/>
        </w:rPr>
        <w:t>附法人或其他组织的营业执照）等证明文件），（也可上传电子营业执照）。</w:t>
      </w:r>
    </w:p>
    <w:p w14:paraId="5EDD5F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2)具有良好的商业信誉和健全的财务会计制度（提供承诺书,格式自拟)。</w:t>
      </w:r>
    </w:p>
    <w:p w14:paraId="419B4F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3)具有履行合同所必需的设备和专业技术能力（提供承诺书,格式自拟)。</w:t>
      </w:r>
    </w:p>
    <w:p w14:paraId="688585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4)有依法缴纳税收和社会保障资金的良好记录（提供承诺书,格式自拟)。</w:t>
      </w:r>
    </w:p>
    <w:p w14:paraId="66C33C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5)参加政府采购活动前三年内，在经营活动中没有重大违法记录的声明（提供承诺书,格式自拟)。</w:t>
      </w:r>
    </w:p>
    <w:p w14:paraId="0B30AB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信誉要求：投标人须提供公告发布之后的中国执行信息公开网“失信被执行人”、信用中国网“重大税收违法失信主体”、中国政府采购网“政府采购严重违法失信行为名单”查询页面加盖单位公章；若有不良记录报名无效，执行财库[2016]125号文。</w:t>
      </w:r>
    </w:p>
    <w:p w14:paraId="637776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3.3单位负责人为同一人或存在直接控股、管理关系的不同供应商，不得同时参加本次采购活动。</w:t>
      </w:r>
    </w:p>
    <w:p w14:paraId="45507A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供应商应保证投标文件真实有效，不可虚假承诺，采购人有权在签订合同前要求成交供应商提供相关证明材料以核实承诺事项的真实性，一经查实弄虚作假，取消其成交资格，并承担因此所引起的一切法律后果（需提供承诺书）。</w:t>
      </w:r>
    </w:p>
    <w:p w14:paraId="734F68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3.5本次采购采用资格后审，不接受联合体投标</w:t>
      </w:r>
      <w:r>
        <w:rPr>
          <w:rFonts w:hint="eastAsia" w:ascii="宋体" w:hAnsi="宋体" w:cs="宋体"/>
          <w:sz w:val="24"/>
          <w:szCs w:val="24"/>
          <w:lang w:eastAsia="zh-CN"/>
        </w:rPr>
        <w:t>。</w:t>
      </w:r>
    </w:p>
    <w:bookmarkEnd w:id="3"/>
    <w:p w14:paraId="013027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4" w:name="_Toc17722_WPSOffice_Level2"/>
      <w:r>
        <w:rPr>
          <w:rFonts w:hint="eastAsia" w:ascii="宋体" w:hAnsi="宋体" w:eastAsia="宋体" w:cs="宋体"/>
          <w:b/>
          <w:bCs/>
          <w:sz w:val="24"/>
          <w:szCs w:val="24"/>
        </w:rPr>
        <w:t>三、获取采购文件</w:t>
      </w:r>
    </w:p>
    <w:p w14:paraId="505E8E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13</w:t>
      </w:r>
      <w:r>
        <w:rPr>
          <w:rFonts w:hint="eastAsia" w:ascii="宋体" w:hAnsi="宋体" w:eastAsia="宋体" w:cs="宋体"/>
          <w:sz w:val="24"/>
          <w:szCs w:val="24"/>
        </w:rPr>
        <w:t>日至202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3</w:t>
      </w:r>
      <w:r>
        <w:rPr>
          <w:rFonts w:hint="eastAsia" w:ascii="宋体" w:hAnsi="宋体" w:eastAsia="宋体" w:cs="宋体"/>
          <w:sz w:val="24"/>
          <w:szCs w:val="24"/>
        </w:rPr>
        <w:t>日，每天上午00:00至12:00，下午12:00至23:59（北京时间，法定节假日除外。）</w:t>
      </w:r>
    </w:p>
    <w:p w14:paraId="64049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2.地点：平顶山市公共资源交易中心电子交易系统；</w:t>
      </w:r>
    </w:p>
    <w:p w14:paraId="17CA09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方式：本项目只接受网上报名，不接受其它形式报名。潜在供应商报名需凭CA数字证书通过平顶山市公共资源交易中心网（网址：http://ggzy.pds.gov.cn）“供应商登录”入口进入交易系统进行报名。具体操作请查看以下链接：</w:t>
      </w:r>
    </w:p>
    <w:p w14:paraId="020335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链接地址：http://ggzy.pds.gov.cn/fwzn/11020.jhtml</w:t>
      </w:r>
    </w:p>
    <w:p w14:paraId="6B8115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办理CA证书：http://ggzy.pds.gov.cn/tzgg/10814.jhtml</w:t>
      </w:r>
    </w:p>
    <w:p w14:paraId="2E6C6F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4.售价：0元</w:t>
      </w:r>
    </w:p>
    <w:p w14:paraId="3CC10B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04F53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1.截止时间：202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4</w:t>
      </w:r>
      <w:r>
        <w:rPr>
          <w:rFonts w:hint="eastAsia" w:ascii="宋体" w:hAnsi="宋体" w:eastAsia="宋体" w:cs="宋体"/>
          <w:sz w:val="24"/>
          <w:szCs w:val="24"/>
        </w:rPr>
        <w:t>日</w:t>
      </w:r>
      <w:r>
        <w:rPr>
          <w:rFonts w:hint="eastAsia" w:ascii="宋体" w:hAnsi="宋体" w:cs="宋体"/>
          <w:sz w:val="24"/>
          <w:szCs w:val="24"/>
          <w:lang w:val="en-US" w:eastAsia="zh-CN"/>
        </w:rPr>
        <w:t>9</w:t>
      </w:r>
      <w:r>
        <w:rPr>
          <w:rFonts w:hint="eastAsia" w:ascii="宋体" w:hAnsi="宋体" w:eastAsia="宋体" w:cs="宋体"/>
          <w:sz w:val="24"/>
          <w:szCs w:val="24"/>
        </w:rPr>
        <w:t>时</w:t>
      </w:r>
      <w:r>
        <w:rPr>
          <w:rFonts w:hint="eastAsia" w:ascii="宋体" w:hAnsi="宋体" w:cs="宋体"/>
          <w:sz w:val="24"/>
          <w:szCs w:val="24"/>
          <w:lang w:val="en-US" w:eastAsia="zh-CN"/>
        </w:rPr>
        <w:t>00</w:t>
      </w:r>
      <w:r>
        <w:rPr>
          <w:rFonts w:hint="eastAsia" w:ascii="宋体" w:hAnsi="宋体" w:eastAsia="宋体" w:cs="宋体"/>
          <w:sz w:val="24"/>
          <w:szCs w:val="24"/>
        </w:rPr>
        <w:t>分（北京时间）</w:t>
      </w:r>
    </w:p>
    <w:p w14:paraId="1BA6EF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2.地点：平顶山市公共资源交易中心网上开标大厅，未按要求上传加密电子响应文件的，采购人不予受理。</w:t>
      </w:r>
    </w:p>
    <w:p w14:paraId="4360CE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五、响应文件开启</w:t>
      </w:r>
    </w:p>
    <w:p w14:paraId="45104D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1.时间：2025年12月4日9时00分（北京时间）</w:t>
      </w:r>
    </w:p>
    <w:p w14:paraId="3CEC67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2.地点：平顶山市公共资源交易中心网上开标大厅。</w:t>
      </w:r>
    </w:p>
    <w:p w14:paraId="06BECD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六、发布公告的媒介及招标公告期限</w:t>
      </w:r>
    </w:p>
    <w:p w14:paraId="62C201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本次招标公告在《河南省政府采购网》、《平顶山市政府采购网》、《鲁山县政府采购网》、《全国公共资源交易平台（河南省·平顶山市）》上发布，招标公告期限为</w:t>
      </w:r>
      <w:r>
        <w:rPr>
          <w:rFonts w:hint="eastAsia" w:ascii="宋体" w:hAnsi="宋体" w:cs="宋体"/>
          <w:sz w:val="24"/>
          <w:szCs w:val="24"/>
          <w:lang w:eastAsia="zh-CN"/>
        </w:rPr>
        <w:t>五</w:t>
      </w:r>
      <w:r>
        <w:rPr>
          <w:rFonts w:hint="eastAsia" w:ascii="宋体" w:hAnsi="宋体" w:eastAsia="宋体" w:cs="宋体"/>
          <w:sz w:val="24"/>
          <w:szCs w:val="24"/>
        </w:rPr>
        <w:t>个工作日。</w:t>
      </w:r>
    </w:p>
    <w:p w14:paraId="0B321D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4B7BF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全面实行在线“不见面”开标，投标人远程在线解密投标文件，不再到开标现场，投标人开标前应仔细阅读《“不见面”开标注意事项及操作流程》、《关于“不见面开标系统”升级的通知》及交易中心相关通知。</w:t>
      </w:r>
    </w:p>
    <w:p w14:paraId="3EA064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2、各投标人如有异议可通过平顶山市公共资源交易平台向采购人（代理机构）、行政监督部门在线提出质疑（异议）、投诉。</w:t>
      </w:r>
    </w:p>
    <w:p w14:paraId="19F976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3、该公告已同步至“平顶山市公共资源交易中心微信公众号”，可通过公众号中的服务栏目进行查阅。</w:t>
      </w:r>
    </w:p>
    <w:p w14:paraId="256E6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4、本项目监督单位</w:t>
      </w:r>
    </w:p>
    <w:p w14:paraId="110F12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监督单位：鲁山县</w:t>
      </w:r>
      <w:r>
        <w:rPr>
          <w:rFonts w:hint="eastAsia" w:ascii="宋体" w:hAnsi="宋体" w:eastAsia="宋体" w:cs="宋体"/>
          <w:sz w:val="24"/>
          <w:szCs w:val="24"/>
          <w:lang w:val="en-US" w:eastAsia="zh-CN"/>
        </w:rPr>
        <w:t>财政局</w:t>
      </w:r>
    </w:p>
    <w:p w14:paraId="350334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社会信用代码：11410423005487188A</w:t>
      </w:r>
    </w:p>
    <w:p w14:paraId="64112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监管部门联系方式：0375-5057526</w:t>
      </w:r>
    </w:p>
    <w:p w14:paraId="582447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八、凡对本次招标提出询问，请按照以下方式联系</w:t>
      </w:r>
    </w:p>
    <w:p w14:paraId="7CEC60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7C9A88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鲁山县林业局</w:t>
      </w:r>
    </w:p>
    <w:p w14:paraId="29FAF8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地址：鲁山县</w:t>
      </w:r>
    </w:p>
    <w:p w14:paraId="63E205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史女士</w:t>
      </w:r>
    </w:p>
    <w:p w14:paraId="7024E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13569581191</w:t>
      </w:r>
    </w:p>
    <w:p w14:paraId="75905A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2.采购代理机构信息（如有）</w:t>
      </w:r>
    </w:p>
    <w:p w14:paraId="02FAE0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河南智升工程咨询有限公司</w:t>
      </w:r>
    </w:p>
    <w:p w14:paraId="60D86E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河南省郑州市高新技术产业开发区莲花街338号1号楼7层70号</w:t>
      </w:r>
    </w:p>
    <w:p w14:paraId="74A3F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王女士</w:t>
      </w:r>
    </w:p>
    <w:p w14:paraId="439DF4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13017552170</w:t>
      </w:r>
    </w:p>
    <w:p w14:paraId="2DFA5F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261A5B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王女士</w:t>
      </w:r>
    </w:p>
    <w:p w14:paraId="605F9B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13017552170</w:t>
      </w:r>
    </w:p>
    <w:p w14:paraId="0137F65F">
      <w:pPr>
        <w:rPr>
          <w:rFonts w:ascii="宋体" w:hAnsi="宋体"/>
          <w:b/>
          <w:bCs/>
          <w:sz w:val="24"/>
        </w:rPr>
      </w:pPr>
      <w:r>
        <w:rPr>
          <w:rFonts w:hint="eastAsia" w:ascii="宋体" w:hAnsi="宋体"/>
          <w:b/>
          <w:bCs/>
          <w:sz w:val="24"/>
        </w:rPr>
        <w:br w:type="page"/>
      </w:r>
    </w:p>
    <w:p w14:paraId="7800B3B4">
      <w:pPr>
        <w:spacing w:line="360" w:lineRule="auto"/>
        <w:ind w:firstLine="723" w:firstLineChars="200"/>
        <w:jc w:val="center"/>
        <w:rPr>
          <w:rFonts w:ascii="宋体" w:hAnsi="宋体"/>
          <w:sz w:val="36"/>
          <w:szCs w:val="36"/>
        </w:rPr>
      </w:pPr>
      <w:r>
        <w:rPr>
          <w:rFonts w:hint="eastAsia" w:ascii="宋体" w:hAnsi="宋体"/>
          <w:b/>
          <w:bCs/>
          <w:sz w:val="36"/>
          <w:szCs w:val="36"/>
        </w:rPr>
        <w:t>温馨提示</w:t>
      </w:r>
    </w:p>
    <w:p w14:paraId="5E4164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一、本项目为全流程电子化交易项目，请认真阅读采购文件，并注意以下事项：</w:t>
      </w:r>
    </w:p>
    <w:p w14:paraId="3D2E39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1、投标人应按采购文件规定编制、提交电子投标文件。</w:t>
      </w:r>
    </w:p>
    <w:p w14:paraId="23D059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2、本项目投标人不用再提供纸质投标文件。</w:t>
      </w:r>
    </w:p>
    <w:p w14:paraId="01A2DF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3、电子文件下载、制作、提交期间和开标（电子投标文件的解密）环节，投标人须使用CA数字证书（证书须在有效期内）。</w:t>
      </w:r>
    </w:p>
    <w:p w14:paraId="620690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4、电子投标文件的制作</w:t>
      </w:r>
    </w:p>
    <w:p w14:paraId="6F11DB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4.1投标人登录《全国公共资源交易平台(河南省▪平顶山市)》公共资源交易系统（http://221.176.192.166:8080/ggzy/）下载“平顶山投标文件制作系统”，按采购文件要求制作电子投标文件。</w:t>
      </w:r>
    </w:p>
    <w:p w14:paraId="532FE3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电子投标文件的制作，参考《全国公共资源交易平台(河南省▪平顶山市)》公共资源交易系统——组件下载——交易系统操作手册（投标人、供应商）。</w:t>
      </w:r>
    </w:p>
    <w:p w14:paraId="564EB0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4.2投标人须将采购文件要求的资质、业绩、荣誉及相关人员证明材料等资料原件扫描件（或图片）制作到所提交的电子投标文件中。</w:t>
      </w:r>
    </w:p>
    <w:p w14:paraId="3F9CC7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4.3投标人对同一项目多个标段进行投标的，应分别下载所投标段的采购文件，按标段制作电子投标文件，并按采购文件要求在相应位置加盖投标人电子印章和法人电子印章。</w:t>
      </w:r>
    </w:p>
    <w:p w14:paraId="226086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一个标段对应生成一个文件夹（xxxx项目xx标段）, 其中包含2个文件和1个文件夹。后缀名为“.file”的文件用于电子投标使用，名称为“备份”的文件夹使用电子介质存储，供开标现场备用。</w:t>
      </w:r>
    </w:p>
    <w:p w14:paraId="74DA04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5、加密电子投标文件的提交</w:t>
      </w:r>
    </w:p>
    <w:p w14:paraId="401E1E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5.1加密电子投标文件应在采购文件规定的投标截止时间（开标时间）之前成功提交至《全国公共资源交易平台(河南省▪平顶山市)》公共资源交易系统（http://221.176.192.166:8080/ggzy/）。投标人应充分考虑并预留技术处理和上传数据所需时间。</w:t>
      </w:r>
    </w:p>
    <w:p w14:paraId="30BF8A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5.2投标人对同一项目多个标段进行投标的，加密电子投标文件应按标段分别提交。</w:t>
      </w:r>
    </w:p>
    <w:bookmarkEnd w:id="4"/>
    <w:p w14:paraId="62B6EE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二、“不见面”开标注意事项及操作流程</w:t>
      </w:r>
    </w:p>
    <w:p w14:paraId="2B649C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0FA1E6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2、如出现投标人的电子投标文件无法解密的情况，投标人应及时联系采购人（代理机构）进行说明。投标文件解密异常，按以下步骤进行处理：</w:t>
      </w:r>
    </w:p>
    <w:p w14:paraId="091C83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（1）如果是投标文件自身问题导致投标文件无法解密的，该投标文件将不予接收、解密。</w:t>
      </w:r>
    </w:p>
    <w:p w14:paraId="4E3569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（2）如果是电子化交易系统问题造成投标文件无法解密的，将由技术人员进行排查处理。如短时间内问题无法解决的，将由采购人（代理机构）联系监督部门申请暂停开标，待问题解决后继续开标。</w:t>
      </w:r>
    </w:p>
    <w:p w14:paraId="013803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3、所有投标文件解密完成后，由采购人（代理机构）操作，对开标结果进行公示。</w:t>
      </w:r>
    </w:p>
    <w:p w14:paraId="2A7128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4、投标人应保证在开标期间电话、电脑、网络等能够正常使用，投标人因停电、电脑病毒、网络堵塞等原因，未在规定的解密时间内对投标文件进行解密的，其投标文件不予接收。</w:t>
      </w:r>
    </w:p>
    <w:p w14:paraId="00C210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14:paraId="20F13C7B">
      <w:pPr>
        <w:spacing w:line="360" w:lineRule="auto"/>
        <w:ind w:firstLine="480" w:firstLineChars="200"/>
        <w:rPr>
          <w:rFonts w:ascii="宋体" w:hAnsi="宋体"/>
          <w:sz w:val="24"/>
        </w:rPr>
      </w:pPr>
    </w:p>
    <w:p w14:paraId="7FDFEF19">
      <w:pPr>
        <w:spacing w:line="360" w:lineRule="auto"/>
        <w:ind w:firstLine="480" w:firstLineChars="200"/>
        <w:rPr>
          <w:rFonts w:ascii="宋体" w:hAnsi="宋体"/>
          <w:sz w:val="24"/>
        </w:rPr>
        <w:sectPr>
          <w:pgSz w:w="11906" w:h="16838"/>
          <w:pgMar w:top="1134" w:right="1134" w:bottom="1418" w:left="1418" w:header="851" w:footer="992" w:gutter="0"/>
          <w:cols w:space="425" w:num="1"/>
          <w:docGrid w:type="lines" w:linePitch="312" w:charSpace="0"/>
        </w:sectPr>
      </w:pPr>
    </w:p>
    <w:p w14:paraId="406F7D77">
      <w:pPr>
        <w:bidi w:val="0"/>
        <w:jc w:val="center"/>
        <w:rPr>
          <w:b/>
          <w:bCs/>
          <w:sz w:val="32"/>
          <w:szCs w:val="40"/>
        </w:rPr>
      </w:pPr>
      <w:bookmarkStart w:id="5" w:name="_Toc119784536"/>
      <w:r>
        <w:rPr>
          <w:rFonts w:hint="eastAsia"/>
          <w:b/>
          <w:bCs/>
          <w:sz w:val="32"/>
          <w:szCs w:val="40"/>
        </w:rPr>
        <w:t>第二章  投标人须知</w:t>
      </w:r>
      <w:bookmarkEnd w:id="5"/>
    </w:p>
    <w:p w14:paraId="10EB044C">
      <w:pPr>
        <w:bidi w:val="0"/>
        <w:jc w:val="center"/>
        <w:rPr>
          <w:b/>
          <w:bCs/>
          <w:sz w:val="32"/>
          <w:szCs w:val="40"/>
        </w:rPr>
      </w:pPr>
      <w:bookmarkStart w:id="6" w:name="_Toc309416854"/>
      <w:bookmarkStart w:id="7" w:name="_Toc19983"/>
      <w:bookmarkStart w:id="8" w:name="_Toc311235830"/>
      <w:bookmarkStart w:id="9" w:name="_Toc322589402"/>
      <w:r>
        <w:rPr>
          <w:rFonts w:hint="eastAsia"/>
          <w:b/>
          <w:bCs/>
          <w:sz w:val="32"/>
          <w:szCs w:val="40"/>
        </w:rPr>
        <w:t>投标人须知前附表</w:t>
      </w:r>
      <w:bookmarkEnd w:id="6"/>
      <w:bookmarkEnd w:id="7"/>
      <w:bookmarkEnd w:id="8"/>
      <w:bookmarkEnd w:id="9"/>
    </w:p>
    <w:tbl>
      <w:tblPr>
        <w:tblStyle w:val="21"/>
        <w:tblW w:w="0" w:type="auto"/>
        <w:jc w:val="center"/>
        <w:tblLayout w:type="fixed"/>
        <w:tblCellMar>
          <w:top w:w="0" w:type="dxa"/>
          <w:left w:w="108" w:type="dxa"/>
          <w:bottom w:w="0" w:type="dxa"/>
          <w:right w:w="108" w:type="dxa"/>
        </w:tblCellMar>
      </w:tblPr>
      <w:tblGrid>
        <w:gridCol w:w="1078"/>
        <w:gridCol w:w="1985"/>
        <w:gridCol w:w="6179"/>
      </w:tblGrid>
      <w:tr w14:paraId="0D875302">
        <w:tblPrEx>
          <w:tblCellMar>
            <w:top w:w="0" w:type="dxa"/>
            <w:left w:w="108" w:type="dxa"/>
            <w:bottom w:w="0" w:type="dxa"/>
            <w:right w:w="108" w:type="dxa"/>
          </w:tblCellMar>
        </w:tblPrEx>
        <w:trPr>
          <w:trHeight w:val="474"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1D9268F9">
            <w:pPr>
              <w:bidi w:val="0"/>
              <w:rPr>
                <w:rFonts w:hint="eastAsia" w:ascii="宋体" w:hAnsi="宋体" w:eastAsia="宋体" w:cs="宋体"/>
                <w:sz w:val="21"/>
                <w:szCs w:val="21"/>
              </w:rPr>
            </w:pPr>
            <w:r>
              <w:rPr>
                <w:rFonts w:hint="eastAsia" w:ascii="宋体" w:hAnsi="宋体" w:eastAsia="宋体" w:cs="宋体"/>
                <w:sz w:val="21"/>
                <w:szCs w:val="21"/>
              </w:rPr>
              <w:t>条款号</w:t>
            </w:r>
          </w:p>
        </w:tc>
        <w:tc>
          <w:tcPr>
            <w:tcW w:w="1985" w:type="dxa"/>
            <w:tcBorders>
              <w:top w:val="single" w:color="auto" w:sz="4" w:space="0"/>
              <w:left w:val="single" w:color="auto" w:sz="4" w:space="0"/>
              <w:bottom w:val="single" w:color="auto" w:sz="4" w:space="0"/>
              <w:right w:val="single" w:color="auto" w:sz="4" w:space="0"/>
            </w:tcBorders>
            <w:vAlign w:val="center"/>
          </w:tcPr>
          <w:p w14:paraId="3581FA79">
            <w:pPr>
              <w:bidi w:val="0"/>
              <w:rPr>
                <w:rFonts w:hint="eastAsia" w:ascii="宋体" w:hAnsi="宋体" w:eastAsia="宋体" w:cs="宋体"/>
                <w:sz w:val="21"/>
                <w:szCs w:val="21"/>
              </w:rPr>
            </w:pPr>
            <w:r>
              <w:rPr>
                <w:rFonts w:hint="eastAsia" w:ascii="宋体" w:hAnsi="宋体" w:eastAsia="宋体" w:cs="宋体"/>
                <w:sz w:val="21"/>
                <w:szCs w:val="21"/>
              </w:rPr>
              <w:t>条款名称</w:t>
            </w:r>
          </w:p>
        </w:tc>
        <w:tc>
          <w:tcPr>
            <w:tcW w:w="6179" w:type="dxa"/>
            <w:tcBorders>
              <w:top w:val="single" w:color="auto" w:sz="4" w:space="0"/>
              <w:left w:val="single" w:color="auto" w:sz="4" w:space="0"/>
              <w:bottom w:val="single" w:color="auto" w:sz="4" w:space="0"/>
              <w:right w:val="single" w:color="auto" w:sz="4" w:space="0"/>
            </w:tcBorders>
            <w:vAlign w:val="center"/>
          </w:tcPr>
          <w:p w14:paraId="684FD558">
            <w:pPr>
              <w:bidi w:val="0"/>
              <w:rPr>
                <w:rFonts w:hint="eastAsia" w:ascii="宋体" w:hAnsi="宋体" w:eastAsia="宋体" w:cs="宋体"/>
                <w:sz w:val="21"/>
                <w:szCs w:val="21"/>
              </w:rPr>
            </w:pPr>
            <w:r>
              <w:rPr>
                <w:rFonts w:hint="eastAsia" w:ascii="宋体" w:hAnsi="宋体" w:eastAsia="宋体" w:cs="宋体"/>
                <w:sz w:val="21"/>
                <w:szCs w:val="21"/>
              </w:rPr>
              <w:t>编列内容</w:t>
            </w:r>
          </w:p>
        </w:tc>
      </w:tr>
      <w:tr w14:paraId="2B75852B">
        <w:tblPrEx>
          <w:tblCellMar>
            <w:top w:w="0" w:type="dxa"/>
            <w:left w:w="108" w:type="dxa"/>
            <w:bottom w:w="0" w:type="dxa"/>
            <w:right w:w="108" w:type="dxa"/>
          </w:tblCellMar>
        </w:tblPrEx>
        <w:trPr>
          <w:jc w:val="center"/>
        </w:trPr>
        <w:tc>
          <w:tcPr>
            <w:tcW w:w="1078" w:type="dxa"/>
            <w:tcBorders>
              <w:top w:val="single" w:color="auto" w:sz="4" w:space="0"/>
              <w:left w:val="single" w:color="auto" w:sz="4" w:space="0"/>
              <w:bottom w:val="single" w:color="auto" w:sz="4" w:space="0"/>
              <w:right w:val="single" w:color="auto" w:sz="4" w:space="0"/>
            </w:tcBorders>
            <w:vAlign w:val="center"/>
          </w:tcPr>
          <w:p w14:paraId="3EFDA84F">
            <w:pPr>
              <w:bidi w:val="0"/>
              <w:rPr>
                <w:rFonts w:hint="eastAsia" w:ascii="宋体" w:hAnsi="宋体" w:eastAsia="宋体" w:cs="宋体"/>
                <w:sz w:val="21"/>
                <w:szCs w:val="21"/>
              </w:rPr>
            </w:pPr>
            <w:r>
              <w:rPr>
                <w:rFonts w:hint="eastAsia" w:ascii="宋体" w:hAnsi="宋体" w:eastAsia="宋体" w:cs="宋体"/>
                <w:sz w:val="21"/>
                <w:szCs w:val="21"/>
              </w:rPr>
              <w:t>1</w:t>
            </w:r>
          </w:p>
        </w:tc>
        <w:tc>
          <w:tcPr>
            <w:tcW w:w="1985" w:type="dxa"/>
            <w:tcBorders>
              <w:top w:val="single" w:color="auto" w:sz="4" w:space="0"/>
              <w:left w:val="single" w:color="auto" w:sz="4" w:space="0"/>
              <w:bottom w:val="single" w:color="auto" w:sz="4" w:space="0"/>
              <w:right w:val="single" w:color="auto" w:sz="4" w:space="0"/>
            </w:tcBorders>
            <w:vAlign w:val="center"/>
          </w:tcPr>
          <w:p w14:paraId="7E885514">
            <w:pPr>
              <w:bidi w:val="0"/>
              <w:rPr>
                <w:rFonts w:hint="eastAsia" w:ascii="宋体" w:hAnsi="宋体" w:eastAsia="宋体" w:cs="宋体"/>
                <w:sz w:val="21"/>
                <w:szCs w:val="21"/>
              </w:rPr>
            </w:pPr>
            <w:r>
              <w:rPr>
                <w:rFonts w:hint="eastAsia" w:ascii="宋体" w:hAnsi="宋体" w:eastAsia="宋体" w:cs="宋体"/>
                <w:sz w:val="21"/>
                <w:szCs w:val="21"/>
              </w:rPr>
              <w:t>采购人</w:t>
            </w:r>
          </w:p>
        </w:tc>
        <w:tc>
          <w:tcPr>
            <w:tcW w:w="6179" w:type="dxa"/>
            <w:tcBorders>
              <w:top w:val="single" w:color="auto" w:sz="4" w:space="0"/>
              <w:left w:val="single" w:color="auto" w:sz="4" w:space="0"/>
              <w:bottom w:val="single" w:color="auto" w:sz="4" w:space="0"/>
              <w:right w:val="single" w:color="auto" w:sz="4" w:space="0"/>
            </w:tcBorders>
            <w:vAlign w:val="center"/>
          </w:tcPr>
          <w:p w14:paraId="33753BCF">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名称：</w:t>
            </w:r>
            <w:r>
              <w:rPr>
                <w:rFonts w:hint="eastAsia" w:ascii="宋体" w:hAnsi="宋体" w:eastAsia="宋体" w:cs="宋体"/>
                <w:color w:val="auto"/>
                <w:sz w:val="21"/>
                <w:szCs w:val="21"/>
                <w:lang w:eastAsia="zh-CN"/>
              </w:rPr>
              <w:t>鲁山县林业局</w:t>
            </w:r>
          </w:p>
          <w:p w14:paraId="2A47F129">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地址：鲁山县</w:t>
            </w:r>
          </w:p>
          <w:p w14:paraId="7F864C4E">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联系人：史女士</w:t>
            </w:r>
          </w:p>
          <w:p w14:paraId="3662F366">
            <w:pPr>
              <w:bidi w:val="0"/>
              <w:rPr>
                <w:rFonts w:hint="eastAsia" w:ascii="宋体" w:hAnsi="宋体" w:eastAsia="宋体" w:cs="宋体"/>
                <w:color w:val="auto"/>
                <w:sz w:val="21"/>
                <w:szCs w:val="21"/>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lang w:val="en-US" w:eastAsia="zh-CN"/>
              </w:rPr>
              <w:t>13569581191</w:t>
            </w:r>
          </w:p>
        </w:tc>
      </w:tr>
      <w:tr w14:paraId="18588022">
        <w:tblPrEx>
          <w:tblCellMar>
            <w:top w:w="0" w:type="dxa"/>
            <w:left w:w="108" w:type="dxa"/>
            <w:bottom w:w="0" w:type="dxa"/>
            <w:right w:w="108" w:type="dxa"/>
          </w:tblCellMar>
        </w:tblPrEx>
        <w:trPr>
          <w:trHeight w:val="983"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79460F47">
            <w:pPr>
              <w:bidi w:val="0"/>
              <w:rPr>
                <w:rFonts w:hint="eastAsia" w:ascii="宋体" w:hAnsi="宋体" w:eastAsia="宋体" w:cs="宋体"/>
                <w:sz w:val="21"/>
                <w:szCs w:val="21"/>
              </w:rPr>
            </w:pPr>
            <w:r>
              <w:rPr>
                <w:rFonts w:hint="eastAsia" w:ascii="宋体" w:hAnsi="宋体" w:eastAsia="宋体" w:cs="宋体"/>
                <w:sz w:val="21"/>
                <w:szCs w:val="21"/>
              </w:rPr>
              <w:t>2</w:t>
            </w:r>
          </w:p>
        </w:tc>
        <w:tc>
          <w:tcPr>
            <w:tcW w:w="1985" w:type="dxa"/>
            <w:tcBorders>
              <w:top w:val="single" w:color="auto" w:sz="4" w:space="0"/>
              <w:left w:val="single" w:color="auto" w:sz="4" w:space="0"/>
              <w:bottom w:val="single" w:color="auto" w:sz="4" w:space="0"/>
              <w:right w:val="single" w:color="auto" w:sz="4" w:space="0"/>
            </w:tcBorders>
            <w:vAlign w:val="center"/>
          </w:tcPr>
          <w:p w14:paraId="616BFC41">
            <w:pPr>
              <w:bidi w:val="0"/>
              <w:rPr>
                <w:rFonts w:hint="eastAsia" w:ascii="宋体" w:hAnsi="宋体" w:eastAsia="宋体" w:cs="宋体"/>
                <w:sz w:val="21"/>
                <w:szCs w:val="21"/>
              </w:rPr>
            </w:pPr>
            <w:r>
              <w:rPr>
                <w:rFonts w:hint="eastAsia" w:ascii="宋体" w:hAnsi="宋体" w:eastAsia="宋体" w:cs="宋体"/>
                <w:sz w:val="21"/>
                <w:szCs w:val="21"/>
              </w:rPr>
              <w:t>采购代理机构</w:t>
            </w:r>
          </w:p>
        </w:tc>
        <w:tc>
          <w:tcPr>
            <w:tcW w:w="6179" w:type="dxa"/>
            <w:tcBorders>
              <w:top w:val="single" w:color="auto" w:sz="4" w:space="0"/>
              <w:left w:val="single" w:color="auto" w:sz="4" w:space="0"/>
              <w:bottom w:val="single" w:color="auto" w:sz="4" w:space="0"/>
              <w:right w:val="single" w:color="auto" w:sz="4" w:space="0"/>
            </w:tcBorders>
            <w:vAlign w:val="center"/>
          </w:tcPr>
          <w:p w14:paraId="585D2241">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名称：</w:t>
            </w:r>
            <w:r>
              <w:rPr>
                <w:rFonts w:hint="eastAsia" w:ascii="宋体" w:hAnsi="宋体" w:eastAsia="宋体" w:cs="宋体"/>
                <w:color w:val="auto"/>
                <w:sz w:val="21"/>
                <w:szCs w:val="21"/>
                <w:lang w:eastAsia="zh-CN"/>
              </w:rPr>
              <w:t>河南智升工程咨询有限公司</w:t>
            </w:r>
          </w:p>
          <w:p w14:paraId="0FED0D99">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eastAsia="zh-CN"/>
              </w:rPr>
              <w:t>河南省郑州市高新技术产业开发区莲花街338号1号楼7层70号</w:t>
            </w:r>
          </w:p>
          <w:p w14:paraId="34B93295">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王女士</w:t>
            </w:r>
          </w:p>
          <w:p w14:paraId="40BD5BE9">
            <w:pPr>
              <w:bidi w:val="0"/>
              <w:rPr>
                <w:rFonts w:hint="eastAsia" w:ascii="宋体" w:hAnsi="宋体" w:eastAsia="宋体" w:cs="宋体"/>
                <w:color w:val="auto"/>
                <w:sz w:val="21"/>
                <w:szCs w:val="21"/>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lang w:val="en-US" w:eastAsia="zh-CN"/>
              </w:rPr>
              <w:t>13017552170</w:t>
            </w:r>
          </w:p>
        </w:tc>
      </w:tr>
      <w:tr w14:paraId="00FBD24A">
        <w:tblPrEx>
          <w:tblCellMar>
            <w:top w:w="0" w:type="dxa"/>
            <w:left w:w="108" w:type="dxa"/>
            <w:bottom w:w="0" w:type="dxa"/>
            <w:right w:w="108" w:type="dxa"/>
          </w:tblCellMar>
        </w:tblPrEx>
        <w:trPr>
          <w:trHeight w:val="567"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61B64A59">
            <w:pPr>
              <w:bidi w:val="0"/>
              <w:rPr>
                <w:rFonts w:hint="eastAsia" w:ascii="宋体" w:hAnsi="宋体" w:eastAsia="宋体" w:cs="宋体"/>
                <w:sz w:val="21"/>
                <w:szCs w:val="21"/>
              </w:rPr>
            </w:pPr>
            <w:r>
              <w:rPr>
                <w:rFonts w:hint="eastAsia" w:ascii="宋体" w:hAnsi="宋体" w:eastAsia="宋体" w:cs="宋体"/>
                <w:sz w:val="21"/>
                <w:szCs w:val="21"/>
              </w:rPr>
              <w:t>3</w:t>
            </w:r>
          </w:p>
        </w:tc>
        <w:tc>
          <w:tcPr>
            <w:tcW w:w="1985" w:type="dxa"/>
            <w:tcBorders>
              <w:top w:val="single" w:color="auto" w:sz="4" w:space="0"/>
              <w:left w:val="single" w:color="auto" w:sz="4" w:space="0"/>
              <w:bottom w:val="single" w:color="auto" w:sz="4" w:space="0"/>
              <w:right w:val="single" w:color="auto" w:sz="4" w:space="0"/>
            </w:tcBorders>
            <w:vAlign w:val="center"/>
          </w:tcPr>
          <w:p w14:paraId="4E77D814">
            <w:pPr>
              <w:bidi w:val="0"/>
              <w:rPr>
                <w:rFonts w:hint="eastAsia" w:ascii="宋体" w:hAnsi="宋体" w:eastAsia="宋体" w:cs="宋体"/>
                <w:sz w:val="21"/>
                <w:szCs w:val="21"/>
              </w:rPr>
            </w:pPr>
            <w:r>
              <w:rPr>
                <w:rFonts w:hint="eastAsia" w:ascii="宋体" w:hAnsi="宋体" w:eastAsia="宋体" w:cs="宋体"/>
                <w:sz w:val="21"/>
                <w:szCs w:val="21"/>
              </w:rPr>
              <w:t>项目名称</w:t>
            </w:r>
          </w:p>
        </w:tc>
        <w:tc>
          <w:tcPr>
            <w:tcW w:w="6179" w:type="dxa"/>
            <w:tcBorders>
              <w:top w:val="single" w:color="auto" w:sz="4" w:space="0"/>
              <w:left w:val="single" w:color="auto" w:sz="4" w:space="0"/>
              <w:bottom w:val="single" w:color="auto" w:sz="4" w:space="0"/>
              <w:right w:val="single" w:color="auto" w:sz="4" w:space="0"/>
            </w:tcBorders>
            <w:vAlign w:val="center"/>
          </w:tcPr>
          <w:p w14:paraId="2C0AF304">
            <w:pPr>
              <w:bidi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鲁山县林业局鲁山县森林防火监控系统设备及服务采购项目</w:t>
            </w:r>
          </w:p>
        </w:tc>
      </w:tr>
      <w:tr w14:paraId="25ACD5EB">
        <w:tblPrEx>
          <w:tblCellMar>
            <w:top w:w="0" w:type="dxa"/>
            <w:left w:w="108" w:type="dxa"/>
            <w:bottom w:w="0" w:type="dxa"/>
            <w:right w:w="108" w:type="dxa"/>
          </w:tblCellMar>
        </w:tblPrEx>
        <w:trPr>
          <w:trHeight w:val="567"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25CDC580">
            <w:pPr>
              <w:bidi w:val="0"/>
              <w:rPr>
                <w:rFonts w:hint="eastAsia" w:ascii="宋体" w:hAnsi="宋体" w:eastAsia="宋体" w:cs="宋体"/>
                <w:sz w:val="21"/>
                <w:szCs w:val="21"/>
              </w:rPr>
            </w:pPr>
            <w:r>
              <w:rPr>
                <w:rFonts w:hint="eastAsia" w:ascii="宋体" w:hAnsi="宋体" w:eastAsia="宋体" w:cs="宋体"/>
                <w:sz w:val="21"/>
                <w:szCs w:val="21"/>
              </w:rPr>
              <w:t>4</w:t>
            </w:r>
          </w:p>
        </w:tc>
        <w:tc>
          <w:tcPr>
            <w:tcW w:w="1985" w:type="dxa"/>
            <w:tcBorders>
              <w:top w:val="single" w:color="auto" w:sz="4" w:space="0"/>
              <w:left w:val="single" w:color="auto" w:sz="4" w:space="0"/>
              <w:bottom w:val="single" w:color="auto" w:sz="4" w:space="0"/>
              <w:right w:val="single" w:color="auto" w:sz="4" w:space="0"/>
            </w:tcBorders>
            <w:vAlign w:val="center"/>
          </w:tcPr>
          <w:p w14:paraId="5AB346B6">
            <w:pPr>
              <w:bidi w:val="0"/>
              <w:rPr>
                <w:rFonts w:hint="eastAsia" w:ascii="宋体" w:hAnsi="宋体" w:eastAsia="宋体" w:cs="宋体"/>
                <w:sz w:val="21"/>
                <w:szCs w:val="21"/>
              </w:rPr>
            </w:pPr>
            <w:r>
              <w:rPr>
                <w:rFonts w:hint="eastAsia" w:ascii="宋体" w:hAnsi="宋体" w:eastAsia="宋体" w:cs="宋体"/>
                <w:sz w:val="21"/>
                <w:szCs w:val="21"/>
              </w:rPr>
              <w:t>建设地点</w:t>
            </w:r>
          </w:p>
        </w:tc>
        <w:tc>
          <w:tcPr>
            <w:tcW w:w="6179" w:type="dxa"/>
            <w:tcBorders>
              <w:top w:val="single" w:color="auto" w:sz="4" w:space="0"/>
              <w:left w:val="single" w:color="auto" w:sz="4" w:space="0"/>
              <w:bottom w:val="single" w:color="auto" w:sz="4" w:space="0"/>
              <w:right w:val="single" w:color="auto" w:sz="4" w:space="0"/>
            </w:tcBorders>
            <w:vAlign w:val="center"/>
          </w:tcPr>
          <w:p w14:paraId="1BEC1FF3">
            <w:pPr>
              <w:bidi w:val="0"/>
              <w:rPr>
                <w:rFonts w:hint="eastAsia" w:ascii="宋体" w:hAnsi="宋体" w:eastAsia="宋体" w:cs="宋体"/>
                <w:color w:val="auto"/>
                <w:sz w:val="21"/>
                <w:szCs w:val="21"/>
              </w:rPr>
            </w:pPr>
            <w:r>
              <w:rPr>
                <w:rFonts w:hint="eastAsia" w:ascii="宋体" w:hAnsi="宋体" w:eastAsia="宋体" w:cs="宋体"/>
                <w:color w:val="auto"/>
                <w:sz w:val="21"/>
                <w:szCs w:val="21"/>
              </w:rPr>
              <w:t>鲁山县</w:t>
            </w:r>
          </w:p>
        </w:tc>
      </w:tr>
      <w:tr w14:paraId="38508F12">
        <w:tblPrEx>
          <w:tblCellMar>
            <w:top w:w="0" w:type="dxa"/>
            <w:left w:w="108" w:type="dxa"/>
            <w:bottom w:w="0" w:type="dxa"/>
            <w:right w:w="108" w:type="dxa"/>
          </w:tblCellMar>
        </w:tblPrEx>
        <w:trPr>
          <w:trHeight w:val="567"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3E26B10C">
            <w:pPr>
              <w:bidi w:val="0"/>
              <w:rPr>
                <w:rFonts w:hint="eastAsia" w:ascii="宋体" w:hAnsi="宋体" w:eastAsia="宋体" w:cs="宋体"/>
                <w:sz w:val="21"/>
                <w:szCs w:val="21"/>
              </w:rPr>
            </w:pPr>
            <w:r>
              <w:rPr>
                <w:rFonts w:hint="eastAsia" w:ascii="宋体" w:hAnsi="宋体" w:eastAsia="宋体" w:cs="宋体"/>
                <w:sz w:val="21"/>
                <w:szCs w:val="21"/>
              </w:rPr>
              <w:t>5</w:t>
            </w:r>
          </w:p>
        </w:tc>
        <w:tc>
          <w:tcPr>
            <w:tcW w:w="1985" w:type="dxa"/>
            <w:tcBorders>
              <w:top w:val="single" w:color="auto" w:sz="4" w:space="0"/>
              <w:left w:val="single" w:color="auto" w:sz="4" w:space="0"/>
              <w:bottom w:val="single" w:color="auto" w:sz="4" w:space="0"/>
              <w:right w:val="single" w:color="auto" w:sz="4" w:space="0"/>
            </w:tcBorders>
            <w:vAlign w:val="center"/>
          </w:tcPr>
          <w:p w14:paraId="65C8392F">
            <w:pPr>
              <w:bidi w:val="0"/>
              <w:rPr>
                <w:rFonts w:hint="eastAsia" w:ascii="宋体" w:hAnsi="宋体" w:eastAsia="宋体" w:cs="宋体"/>
                <w:sz w:val="21"/>
                <w:szCs w:val="21"/>
              </w:rPr>
            </w:pPr>
            <w:r>
              <w:rPr>
                <w:rFonts w:hint="eastAsia" w:ascii="宋体" w:hAnsi="宋体" w:eastAsia="宋体" w:cs="宋体"/>
                <w:sz w:val="21"/>
                <w:szCs w:val="21"/>
              </w:rPr>
              <w:t>资金来源</w:t>
            </w:r>
          </w:p>
        </w:tc>
        <w:tc>
          <w:tcPr>
            <w:tcW w:w="6179" w:type="dxa"/>
            <w:tcBorders>
              <w:top w:val="single" w:color="auto" w:sz="4" w:space="0"/>
              <w:left w:val="single" w:color="auto" w:sz="4" w:space="0"/>
              <w:bottom w:val="single" w:color="auto" w:sz="4" w:space="0"/>
              <w:right w:val="single" w:color="auto" w:sz="4" w:space="0"/>
            </w:tcBorders>
            <w:vAlign w:val="center"/>
          </w:tcPr>
          <w:p w14:paraId="378EA142">
            <w:pPr>
              <w:bidi w:val="0"/>
              <w:rPr>
                <w:rFonts w:hint="eastAsia" w:ascii="宋体" w:hAnsi="宋体" w:eastAsia="宋体" w:cs="宋体"/>
                <w:color w:val="auto"/>
                <w:sz w:val="21"/>
                <w:szCs w:val="21"/>
              </w:rPr>
            </w:pPr>
            <w:r>
              <w:rPr>
                <w:rFonts w:hint="eastAsia" w:ascii="宋体" w:hAnsi="宋体" w:eastAsia="宋体" w:cs="宋体"/>
                <w:color w:val="auto"/>
                <w:sz w:val="21"/>
                <w:szCs w:val="21"/>
              </w:rPr>
              <w:t>财政资金</w:t>
            </w:r>
          </w:p>
        </w:tc>
      </w:tr>
      <w:tr w14:paraId="31FD7363">
        <w:tblPrEx>
          <w:tblCellMar>
            <w:top w:w="0" w:type="dxa"/>
            <w:left w:w="108" w:type="dxa"/>
            <w:bottom w:w="0" w:type="dxa"/>
            <w:right w:w="108" w:type="dxa"/>
          </w:tblCellMar>
        </w:tblPrEx>
        <w:trPr>
          <w:trHeight w:val="607"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7F450CCE">
            <w:pPr>
              <w:bidi w:val="0"/>
              <w:rPr>
                <w:rFonts w:hint="eastAsia" w:ascii="宋体" w:hAnsi="宋体" w:eastAsia="宋体" w:cs="宋体"/>
                <w:sz w:val="21"/>
                <w:szCs w:val="21"/>
              </w:rPr>
            </w:pPr>
            <w:r>
              <w:rPr>
                <w:rFonts w:hint="eastAsia" w:ascii="宋体" w:hAnsi="宋体" w:eastAsia="宋体" w:cs="宋体"/>
                <w:sz w:val="21"/>
                <w:szCs w:val="21"/>
              </w:rPr>
              <w:t>6</w:t>
            </w:r>
          </w:p>
        </w:tc>
        <w:tc>
          <w:tcPr>
            <w:tcW w:w="1985" w:type="dxa"/>
            <w:tcBorders>
              <w:top w:val="single" w:color="auto" w:sz="4" w:space="0"/>
              <w:left w:val="single" w:color="auto" w:sz="4" w:space="0"/>
              <w:bottom w:val="single" w:color="auto" w:sz="4" w:space="0"/>
              <w:right w:val="single" w:color="auto" w:sz="4" w:space="0"/>
            </w:tcBorders>
            <w:vAlign w:val="center"/>
          </w:tcPr>
          <w:p w14:paraId="5E3A7855">
            <w:pPr>
              <w:bidi w:val="0"/>
              <w:rPr>
                <w:rFonts w:hint="eastAsia" w:ascii="宋体" w:hAnsi="宋体" w:eastAsia="宋体" w:cs="宋体"/>
                <w:sz w:val="21"/>
                <w:szCs w:val="21"/>
              </w:rPr>
            </w:pPr>
            <w:r>
              <w:rPr>
                <w:rFonts w:hint="eastAsia" w:ascii="宋体" w:hAnsi="宋体" w:eastAsia="宋体" w:cs="宋体"/>
                <w:sz w:val="21"/>
                <w:szCs w:val="21"/>
              </w:rPr>
              <w:t>出资比例</w:t>
            </w:r>
          </w:p>
        </w:tc>
        <w:tc>
          <w:tcPr>
            <w:tcW w:w="6179" w:type="dxa"/>
            <w:tcBorders>
              <w:top w:val="single" w:color="auto" w:sz="4" w:space="0"/>
              <w:left w:val="single" w:color="auto" w:sz="4" w:space="0"/>
              <w:bottom w:val="single" w:color="auto" w:sz="4" w:space="0"/>
              <w:right w:val="single" w:color="auto" w:sz="4" w:space="0"/>
            </w:tcBorders>
            <w:vAlign w:val="center"/>
          </w:tcPr>
          <w:p w14:paraId="5405713B">
            <w:pPr>
              <w:bidi w:val="0"/>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r w14:paraId="329590B7">
        <w:tblPrEx>
          <w:tblCellMar>
            <w:top w:w="0" w:type="dxa"/>
            <w:left w:w="108" w:type="dxa"/>
            <w:bottom w:w="0" w:type="dxa"/>
            <w:right w:w="108" w:type="dxa"/>
          </w:tblCellMar>
        </w:tblPrEx>
        <w:trPr>
          <w:trHeight w:val="567"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5053E5BE">
            <w:pPr>
              <w:bidi w:val="0"/>
              <w:rPr>
                <w:rFonts w:hint="eastAsia" w:ascii="宋体" w:hAnsi="宋体" w:eastAsia="宋体" w:cs="宋体"/>
                <w:sz w:val="21"/>
                <w:szCs w:val="21"/>
              </w:rPr>
            </w:pPr>
            <w:r>
              <w:rPr>
                <w:rFonts w:hint="eastAsia" w:ascii="宋体" w:hAnsi="宋体" w:eastAsia="宋体" w:cs="宋体"/>
                <w:sz w:val="21"/>
                <w:szCs w:val="21"/>
              </w:rPr>
              <w:t>7</w:t>
            </w:r>
          </w:p>
        </w:tc>
        <w:tc>
          <w:tcPr>
            <w:tcW w:w="1985" w:type="dxa"/>
            <w:tcBorders>
              <w:top w:val="single" w:color="auto" w:sz="4" w:space="0"/>
              <w:left w:val="single" w:color="auto" w:sz="4" w:space="0"/>
              <w:bottom w:val="single" w:color="auto" w:sz="4" w:space="0"/>
              <w:right w:val="single" w:color="auto" w:sz="4" w:space="0"/>
            </w:tcBorders>
            <w:vAlign w:val="center"/>
          </w:tcPr>
          <w:p w14:paraId="024F4C7E">
            <w:pPr>
              <w:bidi w:val="0"/>
              <w:rPr>
                <w:rFonts w:hint="eastAsia" w:ascii="宋体" w:hAnsi="宋体" w:eastAsia="宋体" w:cs="宋体"/>
                <w:sz w:val="21"/>
                <w:szCs w:val="21"/>
              </w:rPr>
            </w:pPr>
            <w:r>
              <w:rPr>
                <w:rFonts w:hint="eastAsia" w:ascii="宋体" w:hAnsi="宋体" w:eastAsia="宋体" w:cs="宋体"/>
                <w:sz w:val="21"/>
                <w:szCs w:val="21"/>
              </w:rPr>
              <w:t>资金落实情况</w:t>
            </w:r>
          </w:p>
        </w:tc>
        <w:tc>
          <w:tcPr>
            <w:tcW w:w="6179" w:type="dxa"/>
            <w:tcBorders>
              <w:top w:val="single" w:color="auto" w:sz="4" w:space="0"/>
              <w:left w:val="single" w:color="auto" w:sz="4" w:space="0"/>
              <w:bottom w:val="single" w:color="auto" w:sz="4" w:space="0"/>
              <w:right w:val="single" w:color="auto" w:sz="4" w:space="0"/>
            </w:tcBorders>
            <w:vAlign w:val="center"/>
          </w:tcPr>
          <w:p w14:paraId="011C86BA">
            <w:pPr>
              <w:bidi w:val="0"/>
              <w:rPr>
                <w:rFonts w:hint="eastAsia" w:ascii="宋体" w:hAnsi="宋体" w:eastAsia="宋体" w:cs="宋体"/>
                <w:color w:val="auto"/>
                <w:sz w:val="21"/>
                <w:szCs w:val="21"/>
              </w:rPr>
            </w:pPr>
            <w:r>
              <w:rPr>
                <w:rFonts w:hint="eastAsia" w:ascii="宋体" w:hAnsi="宋体" w:eastAsia="宋体" w:cs="宋体"/>
                <w:color w:val="auto"/>
                <w:sz w:val="21"/>
                <w:szCs w:val="21"/>
              </w:rPr>
              <w:t>已落实</w:t>
            </w:r>
          </w:p>
        </w:tc>
      </w:tr>
      <w:tr w14:paraId="5D972D1D">
        <w:tblPrEx>
          <w:tblCellMar>
            <w:top w:w="0" w:type="dxa"/>
            <w:left w:w="108" w:type="dxa"/>
            <w:bottom w:w="0" w:type="dxa"/>
            <w:right w:w="108" w:type="dxa"/>
          </w:tblCellMar>
        </w:tblPrEx>
        <w:trPr>
          <w:trHeight w:val="567"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00E62671">
            <w:pPr>
              <w:bidi w:val="0"/>
              <w:rPr>
                <w:rFonts w:hint="eastAsia" w:ascii="宋体" w:hAnsi="宋体" w:eastAsia="宋体" w:cs="宋体"/>
                <w:sz w:val="21"/>
                <w:szCs w:val="21"/>
              </w:rPr>
            </w:pPr>
            <w:r>
              <w:rPr>
                <w:rFonts w:hint="eastAsia" w:ascii="宋体" w:hAnsi="宋体" w:eastAsia="宋体" w:cs="宋体"/>
                <w:sz w:val="21"/>
                <w:szCs w:val="21"/>
              </w:rPr>
              <w:t>8</w:t>
            </w:r>
          </w:p>
        </w:tc>
        <w:tc>
          <w:tcPr>
            <w:tcW w:w="1985" w:type="dxa"/>
            <w:tcBorders>
              <w:top w:val="single" w:color="auto" w:sz="4" w:space="0"/>
              <w:left w:val="single" w:color="auto" w:sz="4" w:space="0"/>
              <w:bottom w:val="single" w:color="auto" w:sz="4" w:space="0"/>
              <w:right w:val="single" w:color="auto" w:sz="4" w:space="0"/>
            </w:tcBorders>
            <w:vAlign w:val="center"/>
          </w:tcPr>
          <w:p w14:paraId="0C484F4D">
            <w:pPr>
              <w:bidi w:val="0"/>
              <w:rPr>
                <w:rFonts w:hint="eastAsia" w:ascii="宋体" w:hAnsi="宋体" w:eastAsia="宋体" w:cs="宋体"/>
                <w:sz w:val="21"/>
                <w:szCs w:val="21"/>
              </w:rPr>
            </w:pPr>
            <w:r>
              <w:rPr>
                <w:rFonts w:hint="eastAsia" w:ascii="宋体" w:hAnsi="宋体" w:eastAsia="宋体" w:cs="宋体"/>
                <w:sz w:val="21"/>
                <w:szCs w:val="21"/>
              </w:rPr>
              <w:t>招标范围</w:t>
            </w:r>
          </w:p>
        </w:tc>
        <w:tc>
          <w:tcPr>
            <w:tcW w:w="6179" w:type="dxa"/>
            <w:tcBorders>
              <w:top w:val="single" w:color="auto" w:sz="4" w:space="0"/>
              <w:left w:val="single" w:color="auto" w:sz="4" w:space="0"/>
              <w:bottom w:val="single" w:color="auto" w:sz="4" w:space="0"/>
              <w:right w:val="single" w:color="auto" w:sz="4" w:space="0"/>
            </w:tcBorders>
            <w:vAlign w:val="center"/>
          </w:tcPr>
          <w:p w14:paraId="52EA479B">
            <w:pPr>
              <w:bidi w:val="0"/>
              <w:rPr>
                <w:rFonts w:hint="eastAsia" w:ascii="宋体" w:hAnsi="宋体" w:eastAsia="宋体" w:cs="宋体"/>
                <w:color w:val="auto"/>
                <w:sz w:val="21"/>
                <w:szCs w:val="21"/>
              </w:rPr>
            </w:pPr>
            <w:r>
              <w:rPr>
                <w:rFonts w:hint="eastAsia" w:ascii="宋体" w:hAnsi="宋体" w:eastAsia="宋体" w:cs="宋体"/>
                <w:color w:val="auto"/>
                <w:sz w:val="21"/>
                <w:szCs w:val="21"/>
              </w:rPr>
              <w:t>招标文件包含的全部内容</w:t>
            </w:r>
          </w:p>
        </w:tc>
      </w:tr>
      <w:tr w14:paraId="312A1A54">
        <w:tblPrEx>
          <w:tblCellMar>
            <w:top w:w="0" w:type="dxa"/>
            <w:left w:w="108" w:type="dxa"/>
            <w:bottom w:w="0" w:type="dxa"/>
            <w:right w:w="108" w:type="dxa"/>
          </w:tblCellMar>
        </w:tblPrEx>
        <w:trPr>
          <w:trHeight w:val="567"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6D0E35CB">
            <w:pPr>
              <w:bidi w:val="0"/>
              <w:rPr>
                <w:rFonts w:hint="eastAsia" w:ascii="宋体" w:hAnsi="宋体" w:eastAsia="宋体" w:cs="宋体"/>
                <w:sz w:val="21"/>
                <w:szCs w:val="21"/>
              </w:rPr>
            </w:pPr>
            <w:r>
              <w:rPr>
                <w:rFonts w:hint="eastAsia" w:ascii="宋体" w:hAnsi="宋体" w:eastAsia="宋体" w:cs="宋体"/>
                <w:sz w:val="21"/>
                <w:szCs w:val="21"/>
              </w:rPr>
              <w:t>9</w:t>
            </w:r>
          </w:p>
        </w:tc>
        <w:tc>
          <w:tcPr>
            <w:tcW w:w="1985" w:type="dxa"/>
            <w:tcBorders>
              <w:top w:val="single" w:color="auto" w:sz="4" w:space="0"/>
              <w:left w:val="single" w:color="auto" w:sz="4" w:space="0"/>
              <w:bottom w:val="single" w:color="auto" w:sz="4" w:space="0"/>
              <w:right w:val="single" w:color="auto" w:sz="4" w:space="0"/>
            </w:tcBorders>
            <w:vAlign w:val="center"/>
          </w:tcPr>
          <w:p w14:paraId="6576C998">
            <w:pPr>
              <w:bidi w:val="0"/>
              <w:rPr>
                <w:rFonts w:hint="eastAsia" w:ascii="宋体" w:hAnsi="宋体" w:eastAsia="宋体" w:cs="宋体"/>
                <w:sz w:val="21"/>
                <w:szCs w:val="21"/>
              </w:rPr>
            </w:pPr>
            <w:r>
              <w:rPr>
                <w:rFonts w:hint="eastAsia" w:ascii="宋体" w:hAnsi="宋体" w:eastAsia="宋体" w:cs="宋体"/>
                <w:sz w:val="21"/>
                <w:szCs w:val="21"/>
              </w:rPr>
              <w:t>供货期限</w:t>
            </w:r>
          </w:p>
        </w:tc>
        <w:tc>
          <w:tcPr>
            <w:tcW w:w="6179" w:type="dxa"/>
            <w:tcBorders>
              <w:top w:val="single" w:color="auto" w:sz="4" w:space="0"/>
              <w:left w:val="single" w:color="auto" w:sz="4" w:space="0"/>
              <w:bottom w:val="single" w:color="auto" w:sz="4" w:space="0"/>
              <w:right w:val="single" w:color="auto" w:sz="4" w:space="0"/>
            </w:tcBorders>
            <w:vAlign w:val="center"/>
          </w:tcPr>
          <w:p w14:paraId="25C9D11B">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合同签订30日历天内供货、安装、调试完毕；</w:t>
            </w:r>
          </w:p>
        </w:tc>
      </w:tr>
      <w:tr w14:paraId="66A51DCF">
        <w:tblPrEx>
          <w:tblCellMar>
            <w:top w:w="0" w:type="dxa"/>
            <w:left w:w="108" w:type="dxa"/>
            <w:bottom w:w="0" w:type="dxa"/>
            <w:right w:w="108" w:type="dxa"/>
          </w:tblCellMar>
        </w:tblPrEx>
        <w:trPr>
          <w:trHeight w:val="567"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6D3A61F5">
            <w:pPr>
              <w:bidi w:val="0"/>
              <w:rPr>
                <w:rFonts w:hint="eastAsia" w:ascii="宋体" w:hAnsi="宋体" w:eastAsia="宋体" w:cs="宋体"/>
                <w:sz w:val="21"/>
                <w:szCs w:val="21"/>
              </w:rPr>
            </w:pPr>
            <w:r>
              <w:rPr>
                <w:rFonts w:hint="eastAsia" w:ascii="宋体" w:hAnsi="宋体" w:eastAsia="宋体" w:cs="宋体"/>
                <w:sz w:val="21"/>
                <w:szCs w:val="21"/>
              </w:rPr>
              <w:t>10</w:t>
            </w:r>
          </w:p>
        </w:tc>
        <w:tc>
          <w:tcPr>
            <w:tcW w:w="1985" w:type="dxa"/>
            <w:tcBorders>
              <w:top w:val="single" w:color="auto" w:sz="4" w:space="0"/>
              <w:left w:val="single" w:color="auto" w:sz="4" w:space="0"/>
              <w:bottom w:val="single" w:color="auto" w:sz="4" w:space="0"/>
              <w:right w:val="single" w:color="auto" w:sz="4" w:space="0"/>
            </w:tcBorders>
            <w:vAlign w:val="center"/>
          </w:tcPr>
          <w:p w14:paraId="25CBEC31">
            <w:pPr>
              <w:bidi w:val="0"/>
              <w:rPr>
                <w:rFonts w:hint="eastAsia" w:ascii="宋体" w:hAnsi="宋体" w:eastAsia="宋体" w:cs="宋体"/>
                <w:sz w:val="21"/>
                <w:szCs w:val="21"/>
              </w:rPr>
            </w:pPr>
            <w:r>
              <w:rPr>
                <w:rFonts w:hint="eastAsia" w:ascii="宋体" w:hAnsi="宋体" w:eastAsia="宋体" w:cs="宋体"/>
                <w:sz w:val="21"/>
                <w:szCs w:val="21"/>
              </w:rPr>
              <w:t>质量要求</w:t>
            </w:r>
          </w:p>
        </w:tc>
        <w:tc>
          <w:tcPr>
            <w:tcW w:w="6179" w:type="dxa"/>
            <w:tcBorders>
              <w:top w:val="single" w:color="auto" w:sz="4" w:space="0"/>
              <w:left w:val="single" w:color="auto" w:sz="4" w:space="0"/>
              <w:bottom w:val="single" w:color="auto" w:sz="4" w:space="0"/>
              <w:right w:val="single" w:color="auto" w:sz="4" w:space="0"/>
            </w:tcBorders>
            <w:vAlign w:val="center"/>
          </w:tcPr>
          <w:p w14:paraId="5D4DB67D">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满足采购人需求，达到合格标准</w:t>
            </w:r>
          </w:p>
        </w:tc>
      </w:tr>
      <w:tr w14:paraId="58B04679">
        <w:tblPrEx>
          <w:tblCellMar>
            <w:top w:w="0" w:type="dxa"/>
            <w:left w:w="108" w:type="dxa"/>
            <w:bottom w:w="0" w:type="dxa"/>
            <w:right w:w="108" w:type="dxa"/>
          </w:tblCellMar>
        </w:tblPrEx>
        <w:trPr>
          <w:trHeight w:val="567"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1AE4B114">
            <w:pPr>
              <w:bidi w:val="0"/>
              <w:rPr>
                <w:rFonts w:hint="eastAsia" w:ascii="宋体" w:hAnsi="宋体" w:eastAsia="宋体" w:cs="宋体"/>
                <w:sz w:val="21"/>
                <w:szCs w:val="21"/>
              </w:rPr>
            </w:pPr>
            <w:r>
              <w:rPr>
                <w:rFonts w:hint="eastAsia" w:ascii="宋体" w:hAnsi="宋体" w:eastAsia="宋体" w:cs="宋体"/>
                <w:sz w:val="21"/>
                <w:szCs w:val="21"/>
              </w:rPr>
              <w:t>11</w:t>
            </w:r>
          </w:p>
        </w:tc>
        <w:tc>
          <w:tcPr>
            <w:tcW w:w="1985" w:type="dxa"/>
            <w:tcBorders>
              <w:top w:val="single" w:color="auto" w:sz="4" w:space="0"/>
              <w:left w:val="single" w:color="auto" w:sz="4" w:space="0"/>
              <w:bottom w:val="single" w:color="auto" w:sz="4" w:space="0"/>
              <w:right w:val="single" w:color="auto" w:sz="4" w:space="0"/>
            </w:tcBorders>
            <w:vAlign w:val="center"/>
          </w:tcPr>
          <w:p w14:paraId="69260279">
            <w:pPr>
              <w:bidi w:val="0"/>
              <w:rPr>
                <w:rFonts w:hint="eastAsia" w:ascii="宋体" w:hAnsi="宋体" w:eastAsia="宋体" w:cs="宋体"/>
                <w:sz w:val="21"/>
                <w:szCs w:val="21"/>
              </w:rPr>
            </w:pPr>
            <w:r>
              <w:rPr>
                <w:rFonts w:hint="eastAsia" w:ascii="宋体" w:hAnsi="宋体" w:eastAsia="宋体" w:cs="宋体"/>
                <w:sz w:val="21"/>
                <w:szCs w:val="21"/>
              </w:rPr>
              <w:t>质保期</w:t>
            </w:r>
          </w:p>
        </w:tc>
        <w:tc>
          <w:tcPr>
            <w:tcW w:w="6179" w:type="dxa"/>
            <w:tcBorders>
              <w:top w:val="single" w:color="auto" w:sz="4" w:space="0"/>
              <w:left w:val="single" w:color="auto" w:sz="4" w:space="0"/>
              <w:bottom w:val="single" w:color="auto" w:sz="4" w:space="0"/>
              <w:right w:val="single" w:color="auto" w:sz="4" w:space="0"/>
            </w:tcBorders>
            <w:vAlign w:val="center"/>
          </w:tcPr>
          <w:p w14:paraId="4878FEEE">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一年（自交付使用之日起）</w:t>
            </w:r>
          </w:p>
        </w:tc>
      </w:tr>
      <w:tr w14:paraId="051E3845">
        <w:tblPrEx>
          <w:tblCellMar>
            <w:top w:w="0" w:type="dxa"/>
            <w:left w:w="108" w:type="dxa"/>
            <w:bottom w:w="0" w:type="dxa"/>
            <w:right w:w="108" w:type="dxa"/>
          </w:tblCellMar>
        </w:tblPrEx>
        <w:trPr>
          <w:trHeight w:val="567"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1B81ECA3">
            <w:pPr>
              <w:bidi w:val="0"/>
              <w:rPr>
                <w:rFonts w:hint="eastAsia" w:ascii="宋体" w:hAnsi="宋体" w:eastAsia="宋体" w:cs="宋体"/>
                <w:sz w:val="21"/>
                <w:szCs w:val="21"/>
              </w:rPr>
            </w:pPr>
            <w:r>
              <w:rPr>
                <w:rFonts w:hint="eastAsia" w:ascii="宋体" w:hAnsi="宋体" w:eastAsia="宋体" w:cs="宋体"/>
                <w:sz w:val="21"/>
                <w:szCs w:val="21"/>
              </w:rPr>
              <w:t>12</w:t>
            </w:r>
          </w:p>
        </w:tc>
        <w:tc>
          <w:tcPr>
            <w:tcW w:w="1985" w:type="dxa"/>
            <w:tcBorders>
              <w:top w:val="single" w:color="auto" w:sz="4" w:space="0"/>
              <w:left w:val="single" w:color="auto" w:sz="4" w:space="0"/>
              <w:bottom w:val="single" w:color="auto" w:sz="4" w:space="0"/>
              <w:right w:val="single" w:color="auto" w:sz="4" w:space="0"/>
            </w:tcBorders>
            <w:vAlign w:val="center"/>
          </w:tcPr>
          <w:p w14:paraId="1647FEFC">
            <w:pPr>
              <w:bidi w:val="0"/>
              <w:rPr>
                <w:rFonts w:hint="eastAsia" w:ascii="宋体" w:hAnsi="宋体" w:eastAsia="宋体" w:cs="宋体"/>
                <w:sz w:val="21"/>
                <w:szCs w:val="21"/>
              </w:rPr>
            </w:pPr>
            <w:r>
              <w:rPr>
                <w:rFonts w:hint="eastAsia" w:ascii="宋体" w:hAnsi="宋体" w:eastAsia="宋体" w:cs="宋体"/>
                <w:sz w:val="21"/>
                <w:szCs w:val="21"/>
              </w:rPr>
              <w:t>投标人资格要求</w:t>
            </w:r>
          </w:p>
        </w:tc>
        <w:tc>
          <w:tcPr>
            <w:tcW w:w="6179" w:type="dxa"/>
            <w:tcBorders>
              <w:top w:val="single" w:color="auto" w:sz="4" w:space="0"/>
              <w:left w:val="single" w:color="auto" w:sz="4" w:space="0"/>
              <w:bottom w:val="single" w:color="auto" w:sz="4" w:space="0"/>
              <w:right w:val="single" w:color="auto" w:sz="4" w:space="0"/>
            </w:tcBorders>
            <w:vAlign w:val="center"/>
          </w:tcPr>
          <w:p w14:paraId="063A2308">
            <w:pPr>
              <w:bidi w:val="0"/>
              <w:rPr>
                <w:rFonts w:hint="eastAsia" w:ascii="宋体" w:hAnsi="宋体" w:eastAsia="宋体" w:cs="宋体"/>
                <w:color w:val="auto"/>
                <w:sz w:val="21"/>
                <w:szCs w:val="21"/>
              </w:rPr>
            </w:pPr>
            <w:r>
              <w:rPr>
                <w:rFonts w:hint="eastAsia" w:ascii="宋体" w:hAnsi="宋体" w:eastAsia="宋体" w:cs="宋体"/>
                <w:color w:val="auto"/>
                <w:sz w:val="21"/>
                <w:szCs w:val="21"/>
              </w:rPr>
              <w:t>详见招标公告</w:t>
            </w:r>
          </w:p>
        </w:tc>
      </w:tr>
      <w:tr w14:paraId="72457C21">
        <w:tblPrEx>
          <w:tblCellMar>
            <w:top w:w="0" w:type="dxa"/>
            <w:left w:w="108" w:type="dxa"/>
            <w:bottom w:w="0" w:type="dxa"/>
            <w:right w:w="108" w:type="dxa"/>
          </w:tblCellMar>
        </w:tblPrEx>
        <w:trPr>
          <w:trHeight w:val="1979"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4FA93F79">
            <w:pPr>
              <w:bidi w:val="0"/>
              <w:rPr>
                <w:rFonts w:hint="eastAsia" w:ascii="宋体" w:hAnsi="宋体" w:eastAsia="宋体" w:cs="宋体"/>
                <w:sz w:val="21"/>
                <w:szCs w:val="21"/>
              </w:rPr>
            </w:pPr>
            <w:r>
              <w:rPr>
                <w:rFonts w:hint="eastAsia" w:ascii="宋体" w:hAnsi="宋体" w:eastAsia="宋体" w:cs="宋体"/>
                <w:sz w:val="21"/>
                <w:szCs w:val="21"/>
              </w:rPr>
              <w:t>13</w:t>
            </w:r>
          </w:p>
        </w:tc>
        <w:tc>
          <w:tcPr>
            <w:tcW w:w="1985" w:type="dxa"/>
            <w:tcBorders>
              <w:top w:val="single" w:color="auto" w:sz="4" w:space="0"/>
              <w:left w:val="single" w:color="auto" w:sz="4" w:space="0"/>
              <w:bottom w:val="single" w:color="auto" w:sz="4" w:space="0"/>
              <w:right w:val="single" w:color="auto" w:sz="4" w:space="0"/>
            </w:tcBorders>
            <w:vAlign w:val="center"/>
          </w:tcPr>
          <w:p w14:paraId="5FAFA668">
            <w:pPr>
              <w:bidi w:val="0"/>
              <w:rPr>
                <w:rFonts w:hint="eastAsia" w:ascii="宋体" w:hAnsi="宋体" w:eastAsia="宋体" w:cs="宋体"/>
                <w:sz w:val="21"/>
                <w:szCs w:val="21"/>
              </w:rPr>
            </w:pPr>
            <w:r>
              <w:rPr>
                <w:rFonts w:hint="eastAsia" w:ascii="宋体" w:hAnsi="宋体" w:eastAsia="宋体" w:cs="宋体"/>
                <w:sz w:val="21"/>
                <w:szCs w:val="21"/>
              </w:rPr>
              <w:t>构成招标文件的其他材料</w:t>
            </w:r>
          </w:p>
        </w:tc>
        <w:tc>
          <w:tcPr>
            <w:tcW w:w="6179" w:type="dxa"/>
            <w:tcBorders>
              <w:top w:val="single" w:color="auto" w:sz="4" w:space="0"/>
              <w:left w:val="single" w:color="auto" w:sz="4" w:space="0"/>
              <w:bottom w:val="single" w:color="auto" w:sz="4" w:space="0"/>
              <w:right w:val="single" w:color="auto" w:sz="4" w:space="0"/>
            </w:tcBorders>
            <w:vAlign w:val="center"/>
          </w:tcPr>
          <w:p w14:paraId="41A4EB06">
            <w:pPr>
              <w:bidi w:val="0"/>
              <w:rPr>
                <w:rFonts w:hint="eastAsia" w:ascii="宋体" w:hAnsi="宋体" w:eastAsia="宋体" w:cs="宋体"/>
                <w:sz w:val="21"/>
                <w:szCs w:val="21"/>
              </w:rPr>
            </w:pPr>
            <w:r>
              <w:rPr>
                <w:rFonts w:hint="eastAsia" w:ascii="宋体" w:hAnsi="宋体" w:eastAsia="宋体" w:cs="宋体"/>
                <w:sz w:val="21"/>
                <w:szCs w:val="21"/>
              </w:rPr>
              <w:t>采购人或采购代理机构发出的补遗书和其他正式有效函件，包括答疑、澄清、补充或解释等文件均作为招标文件的组成部分，具有同样的约束作用。当招标文件的答疑、澄清、补充或解释等文件的内容在同一内容的表述上不一致时，以最后在电子交易系统中发出的招标文件为准。</w:t>
            </w:r>
          </w:p>
        </w:tc>
      </w:tr>
      <w:tr w14:paraId="7C7B748A">
        <w:tblPrEx>
          <w:tblCellMar>
            <w:top w:w="0" w:type="dxa"/>
            <w:left w:w="108" w:type="dxa"/>
            <w:bottom w:w="0" w:type="dxa"/>
            <w:right w:w="108" w:type="dxa"/>
          </w:tblCellMar>
        </w:tblPrEx>
        <w:trPr>
          <w:trHeight w:val="552"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3076FB51">
            <w:pPr>
              <w:bidi w:val="0"/>
              <w:rPr>
                <w:rFonts w:hint="eastAsia" w:ascii="宋体" w:hAnsi="宋体" w:eastAsia="宋体" w:cs="宋体"/>
                <w:sz w:val="21"/>
                <w:szCs w:val="21"/>
              </w:rPr>
            </w:pPr>
            <w:r>
              <w:rPr>
                <w:rFonts w:hint="eastAsia" w:ascii="宋体" w:hAnsi="宋体" w:eastAsia="宋体" w:cs="宋体"/>
                <w:sz w:val="21"/>
                <w:szCs w:val="21"/>
              </w:rPr>
              <w:t>14</w:t>
            </w:r>
          </w:p>
        </w:tc>
        <w:tc>
          <w:tcPr>
            <w:tcW w:w="1985" w:type="dxa"/>
            <w:tcBorders>
              <w:top w:val="single" w:color="auto" w:sz="4" w:space="0"/>
              <w:left w:val="single" w:color="auto" w:sz="4" w:space="0"/>
              <w:bottom w:val="single" w:color="auto" w:sz="4" w:space="0"/>
              <w:right w:val="single" w:color="auto" w:sz="4" w:space="0"/>
            </w:tcBorders>
            <w:vAlign w:val="center"/>
          </w:tcPr>
          <w:p w14:paraId="2E927402">
            <w:pPr>
              <w:bidi w:val="0"/>
              <w:rPr>
                <w:rFonts w:hint="eastAsia" w:ascii="宋体" w:hAnsi="宋体" w:eastAsia="宋体" w:cs="宋体"/>
                <w:sz w:val="21"/>
                <w:szCs w:val="21"/>
              </w:rPr>
            </w:pPr>
            <w:r>
              <w:rPr>
                <w:rFonts w:hint="eastAsia" w:ascii="宋体" w:hAnsi="宋体" w:eastAsia="宋体" w:cs="宋体"/>
                <w:sz w:val="21"/>
                <w:szCs w:val="21"/>
              </w:rPr>
              <w:t>投标截止时间</w:t>
            </w:r>
          </w:p>
        </w:tc>
        <w:tc>
          <w:tcPr>
            <w:tcW w:w="6179" w:type="dxa"/>
            <w:tcBorders>
              <w:top w:val="single" w:color="auto" w:sz="4" w:space="0"/>
              <w:left w:val="single" w:color="auto" w:sz="4" w:space="0"/>
              <w:bottom w:val="single" w:color="auto" w:sz="4" w:space="0"/>
              <w:right w:val="single" w:color="auto" w:sz="4" w:space="0"/>
            </w:tcBorders>
            <w:vAlign w:val="center"/>
          </w:tcPr>
          <w:p w14:paraId="25399501">
            <w:pPr>
              <w:bidi w:val="0"/>
              <w:rPr>
                <w:rFonts w:hint="eastAsia" w:ascii="宋体" w:hAnsi="宋体" w:eastAsia="宋体" w:cs="宋体"/>
                <w:sz w:val="21"/>
                <w:szCs w:val="21"/>
              </w:rPr>
            </w:pPr>
            <w:r>
              <w:rPr>
                <w:rFonts w:hint="eastAsia" w:ascii="宋体" w:hAnsi="宋体" w:eastAsia="宋体" w:cs="宋体"/>
                <w:sz w:val="21"/>
                <w:szCs w:val="21"/>
              </w:rPr>
              <w:t>2025年12月4日9时00分（北京时间）</w:t>
            </w:r>
          </w:p>
        </w:tc>
      </w:tr>
      <w:tr w14:paraId="517E3053">
        <w:tblPrEx>
          <w:tblCellMar>
            <w:top w:w="0" w:type="dxa"/>
            <w:left w:w="108" w:type="dxa"/>
            <w:bottom w:w="0" w:type="dxa"/>
            <w:right w:w="108" w:type="dxa"/>
          </w:tblCellMar>
        </w:tblPrEx>
        <w:trPr>
          <w:trHeight w:val="523"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06296F84">
            <w:pPr>
              <w:bidi w:val="0"/>
              <w:rPr>
                <w:rFonts w:hint="eastAsia" w:ascii="宋体" w:hAnsi="宋体" w:eastAsia="宋体" w:cs="宋体"/>
                <w:sz w:val="21"/>
                <w:szCs w:val="21"/>
              </w:rPr>
            </w:pPr>
            <w:r>
              <w:rPr>
                <w:rFonts w:hint="eastAsia" w:ascii="宋体" w:hAnsi="宋体" w:eastAsia="宋体" w:cs="宋体"/>
                <w:sz w:val="21"/>
                <w:szCs w:val="21"/>
              </w:rPr>
              <w:t>15</w:t>
            </w:r>
          </w:p>
        </w:tc>
        <w:tc>
          <w:tcPr>
            <w:tcW w:w="1985" w:type="dxa"/>
            <w:tcBorders>
              <w:top w:val="single" w:color="auto" w:sz="4" w:space="0"/>
              <w:left w:val="single" w:color="auto" w:sz="4" w:space="0"/>
              <w:bottom w:val="single" w:color="auto" w:sz="4" w:space="0"/>
              <w:right w:val="single" w:color="auto" w:sz="4" w:space="0"/>
            </w:tcBorders>
            <w:vAlign w:val="center"/>
          </w:tcPr>
          <w:p w14:paraId="4FB969B1">
            <w:pPr>
              <w:bidi w:val="0"/>
              <w:rPr>
                <w:rFonts w:hint="eastAsia" w:ascii="宋体" w:hAnsi="宋体" w:eastAsia="宋体" w:cs="宋体"/>
                <w:sz w:val="21"/>
                <w:szCs w:val="21"/>
              </w:rPr>
            </w:pPr>
            <w:r>
              <w:rPr>
                <w:rFonts w:hint="eastAsia" w:ascii="宋体" w:hAnsi="宋体" w:eastAsia="宋体" w:cs="宋体"/>
                <w:sz w:val="21"/>
                <w:szCs w:val="21"/>
              </w:rPr>
              <w:t>投标有效期</w:t>
            </w:r>
          </w:p>
        </w:tc>
        <w:tc>
          <w:tcPr>
            <w:tcW w:w="6179" w:type="dxa"/>
            <w:tcBorders>
              <w:top w:val="single" w:color="auto" w:sz="4" w:space="0"/>
              <w:left w:val="single" w:color="auto" w:sz="4" w:space="0"/>
              <w:bottom w:val="single" w:color="auto" w:sz="4" w:space="0"/>
              <w:right w:val="single" w:color="auto" w:sz="4" w:space="0"/>
            </w:tcBorders>
            <w:vAlign w:val="center"/>
          </w:tcPr>
          <w:p w14:paraId="6F7CE419">
            <w:pPr>
              <w:bidi w:val="0"/>
              <w:rPr>
                <w:rFonts w:hint="eastAsia" w:ascii="宋体" w:hAnsi="宋体" w:eastAsia="宋体" w:cs="宋体"/>
                <w:sz w:val="21"/>
                <w:szCs w:val="21"/>
              </w:rPr>
            </w:pPr>
            <w:r>
              <w:rPr>
                <w:rFonts w:hint="eastAsia" w:ascii="宋体" w:hAnsi="宋体" w:eastAsia="宋体" w:cs="宋体"/>
                <w:sz w:val="21"/>
                <w:szCs w:val="21"/>
              </w:rPr>
              <w:t>投标文件递交截止之日起90日历天</w:t>
            </w:r>
          </w:p>
        </w:tc>
      </w:tr>
      <w:tr w14:paraId="5EACF907">
        <w:tblPrEx>
          <w:tblCellMar>
            <w:top w:w="0" w:type="dxa"/>
            <w:left w:w="108" w:type="dxa"/>
            <w:bottom w:w="0" w:type="dxa"/>
            <w:right w:w="108" w:type="dxa"/>
          </w:tblCellMar>
        </w:tblPrEx>
        <w:trPr>
          <w:trHeight w:val="463"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3DFF06A2">
            <w:pPr>
              <w:bidi w:val="0"/>
              <w:rPr>
                <w:rFonts w:hint="eastAsia" w:ascii="宋体" w:hAnsi="宋体" w:eastAsia="宋体" w:cs="宋体"/>
                <w:sz w:val="21"/>
                <w:szCs w:val="21"/>
              </w:rPr>
            </w:pPr>
            <w:r>
              <w:rPr>
                <w:rFonts w:hint="eastAsia" w:ascii="宋体" w:hAnsi="宋体" w:eastAsia="宋体" w:cs="宋体"/>
                <w:sz w:val="21"/>
                <w:szCs w:val="21"/>
              </w:rPr>
              <w:t>16</w:t>
            </w:r>
          </w:p>
        </w:tc>
        <w:tc>
          <w:tcPr>
            <w:tcW w:w="1985" w:type="dxa"/>
            <w:tcBorders>
              <w:top w:val="single" w:color="auto" w:sz="4" w:space="0"/>
              <w:left w:val="single" w:color="auto" w:sz="4" w:space="0"/>
              <w:bottom w:val="single" w:color="auto" w:sz="4" w:space="0"/>
              <w:right w:val="single" w:color="auto" w:sz="4" w:space="0"/>
            </w:tcBorders>
            <w:vAlign w:val="center"/>
          </w:tcPr>
          <w:p w14:paraId="7A83FF17">
            <w:pPr>
              <w:bidi w:val="0"/>
              <w:rPr>
                <w:rFonts w:hint="eastAsia" w:ascii="宋体" w:hAnsi="宋体" w:eastAsia="宋体" w:cs="宋体"/>
                <w:sz w:val="21"/>
                <w:szCs w:val="21"/>
              </w:rPr>
            </w:pPr>
            <w:r>
              <w:rPr>
                <w:rFonts w:hint="eastAsia" w:ascii="宋体" w:hAnsi="宋体" w:eastAsia="宋体" w:cs="宋体"/>
                <w:sz w:val="21"/>
                <w:szCs w:val="21"/>
              </w:rPr>
              <w:t>投标保证金</w:t>
            </w:r>
          </w:p>
        </w:tc>
        <w:tc>
          <w:tcPr>
            <w:tcW w:w="6179" w:type="dxa"/>
            <w:tcBorders>
              <w:top w:val="single" w:color="auto" w:sz="4" w:space="0"/>
              <w:left w:val="single" w:color="auto" w:sz="4" w:space="0"/>
              <w:bottom w:val="single" w:color="auto" w:sz="4" w:space="0"/>
              <w:right w:val="single" w:color="auto" w:sz="4" w:space="0"/>
            </w:tcBorders>
            <w:vAlign w:val="center"/>
          </w:tcPr>
          <w:p w14:paraId="5E0878B1">
            <w:pPr>
              <w:bidi w:val="0"/>
              <w:rPr>
                <w:rFonts w:hint="eastAsia" w:ascii="宋体" w:hAnsi="宋体" w:eastAsia="宋体" w:cs="宋体"/>
                <w:sz w:val="21"/>
                <w:szCs w:val="21"/>
              </w:rPr>
            </w:pPr>
            <w:r>
              <w:rPr>
                <w:rFonts w:hint="eastAsia" w:ascii="宋体" w:hAnsi="宋体" w:eastAsia="宋体" w:cs="宋体"/>
                <w:sz w:val="21"/>
                <w:szCs w:val="21"/>
              </w:rPr>
              <w:t>本项目不收取投标保证金</w:t>
            </w:r>
          </w:p>
        </w:tc>
      </w:tr>
      <w:tr w14:paraId="40916BE2">
        <w:tblPrEx>
          <w:tblCellMar>
            <w:top w:w="0" w:type="dxa"/>
            <w:left w:w="108" w:type="dxa"/>
            <w:bottom w:w="0" w:type="dxa"/>
            <w:right w:w="108" w:type="dxa"/>
          </w:tblCellMar>
        </w:tblPrEx>
        <w:trPr>
          <w:trHeight w:val="463"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7FDF32BF">
            <w:pPr>
              <w:bidi w:val="0"/>
              <w:rPr>
                <w:rFonts w:hint="eastAsia" w:ascii="宋体" w:hAnsi="宋体" w:eastAsia="宋体" w:cs="宋体"/>
                <w:sz w:val="21"/>
                <w:szCs w:val="21"/>
              </w:rPr>
            </w:pPr>
            <w:r>
              <w:rPr>
                <w:rFonts w:hint="eastAsia" w:ascii="宋体" w:hAnsi="宋体" w:eastAsia="宋体" w:cs="宋体"/>
                <w:sz w:val="21"/>
                <w:szCs w:val="21"/>
              </w:rPr>
              <w:t>17</w:t>
            </w:r>
          </w:p>
        </w:tc>
        <w:tc>
          <w:tcPr>
            <w:tcW w:w="1985" w:type="dxa"/>
            <w:tcBorders>
              <w:top w:val="single" w:color="auto" w:sz="4" w:space="0"/>
              <w:left w:val="single" w:color="auto" w:sz="4" w:space="0"/>
              <w:bottom w:val="single" w:color="auto" w:sz="4" w:space="0"/>
              <w:right w:val="single" w:color="auto" w:sz="4" w:space="0"/>
            </w:tcBorders>
            <w:vAlign w:val="center"/>
          </w:tcPr>
          <w:p w14:paraId="15399844">
            <w:pPr>
              <w:bidi w:val="0"/>
              <w:rPr>
                <w:rFonts w:hint="eastAsia" w:ascii="宋体" w:hAnsi="宋体" w:eastAsia="宋体" w:cs="宋体"/>
                <w:sz w:val="21"/>
                <w:szCs w:val="21"/>
              </w:rPr>
            </w:pPr>
            <w:r>
              <w:rPr>
                <w:rFonts w:hint="eastAsia" w:ascii="宋体" w:hAnsi="宋体" w:eastAsia="宋体" w:cs="宋体"/>
                <w:sz w:val="21"/>
                <w:szCs w:val="21"/>
              </w:rPr>
              <w:t>履约保证金</w:t>
            </w:r>
          </w:p>
        </w:tc>
        <w:tc>
          <w:tcPr>
            <w:tcW w:w="6179" w:type="dxa"/>
            <w:tcBorders>
              <w:top w:val="single" w:color="auto" w:sz="4" w:space="0"/>
              <w:left w:val="single" w:color="auto" w:sz="4" w:space="0"/>
              <w:bottom w:val="single" w:color="auto" w:sz="4" w:space="0"/>
              <w:right w:val="single" w:color="auto" w:sz="4" w:space="0"/>
            </w:tcBorders>
            <w:vAlign w:val="center"/>
          </w:tcPr>
          <w:p w14:paraId="0CF0C107">
            <w:pPr>
              <w:bidi w:val="0"/>
              <w:rPr>
                <w:rFonts w:hint="eastAsia" w:ascii="宋体" w:hAnsi="宋体" w:eastAsia="宋体" w:cs="宋体"/>
                <w:sz w:val="21"/>
                <w:szCs w:val="21"/>
              </w:rPr>
            </w:pPr>
            <w:r>
              <w:rPr>
                <w:rFonts w:hint="eastAsia" w:ascii="宋体" w:hAnsi="宋体" w:eastAsia="宋体" w:cs="宋体"/>
                <w:sz w:val="21"/>
                <w:szCs w:val="21"/>
              </w:rPr>
              <w:t>本项目不收取履约保证金</w:t>
            </w:r>
          </w:p>
        </w:tc>
      </w:tr>
      <w:tr w14:paraId="1E41DC74">
        <w:tblPrEx>
          <w:tblCellMar>
            <w:top w:w="0" w:type="dxa"/>
            <w:left w:w="108" w:type="dxa"/>
            <w:bottom w:w="0" w:type="dxa"/>
            <w:right w:w="108" w:type="dxa"/>
          </w:tblCellMar>
        </w:tblPrEx>
        <w:trPr>
          <w:trHeight w:val="463"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76DD9B20">
            <w:pPr>
              <w:bidi w:val="0"/>
              <w:rPr>
                <w:rFonts w:hint="eastAsia" w:ascii="宋体" w:hAnsi="宋体" w:eastAsia="宋体" w:cs="宋体"/>
                <w:sz w:val="21"/>
                <w:szCs w:val="21"/>
              </w:rPr>
            </w:pPr>
            <w:r>
              <w:rPr>
                <w:rFonts w:hint="eastAsia" w:ascii="宋体" w:hAnsi="宋体" w:eastAsia="宋体" w:cs="宋体"/>
                <w:sz w:val="21"/>
                <w:szCs w:val="21"/>
              </w:rPr>
              <w:t>18</w:t>
            </w:r>
          </w:p>
        </w:tc>
        <w:tc>
          <w:tcPr>
            <w:tcW w:w="1985" w:type="dxa"/>
            <w:tcBorders>
              <w:top w:val="single" w:color="auto" w:sz="4" w:space="0"/>
              <w:left w:val="single" w:color="auto" w:sz="4" w:space="0"/>
              <w:bottom w:val="single" w:color="auto" w:sz="4" w:space="0"/>
              <w:right w:val="single" w:color="auto" w:sz="4" w:space="0"/>
            </w:tcBorders>
            <w:vAlign w:val="center"/>
          </w:tcPr>
          <w:p w14:paraId="6469C092">
            <w:pPr>
              <w:bidi w:val="0"/>
              <w:rPr>
                <w:rFonts w:hint="eastAsia" w:ascii="宋体" w:hAnsi="宋体" w:eastAsia="宋体" w:cs="宋体"/>
                <w:sz w:val="21"/>
                <w:szCs w:val="21"/>
              </w:rPr>
            </w:pPr>
            <w:r>
              <w:rPr>
                <w:rFonts w:hint="eastAsia" w:ascii="宋体" w:hAnsi="宋体" w:eastAsia="宋体" w:cs="宋体"/>
                <w:sz w:val="21"/>
                <w:szCs w:val="21"/>
              </w:rPr>
              <w:t>是否允许递交备选投标方案</w:t>
            </w:r>
          </w:p>
        </w:tc>
        <w:tc>
          <w:tcPr>
            <w:tcW w:w="6179" w:type="dxa"/>
            <w:tcBorders>
              <w:top w:val="single" w:color="auto" w:sz="4" w:space="0"/>
              <w:left w:val="single" w:color="auto" w:sz="4" w:space="0"/>
              <w:bottom w:val="single" w:color="auto" w:sz="4" w:space="0"/>
              <w:right w:val="single" w:color="auto" w:sz="4" w:space="0"/>
            </w:tcBorders>
            <w:vAlign w:val="center"/>
          </w:tcPr>
          <w:p w14:paraId="3BC1E288">
            <w:pPr>
              <w:bidi w:val="0"/>
              <w:rPr>
                <w:rFonts w:hint="eastAsia" w:ascii="宋体" w:hAnsi="宋体" w:eastAsia="宋体" w:cs="宋体"/>
                <w:sz w:val="21"/>
                <w:szCs w:val="21"/>
              </w:rPr>
            </w:pPr>
            <w:r>
              <w:rPr>
                <w:rFonts w:hint="eastAsia" w:ascii="宋体" w:hAnsi="宋体" w:eastAsia="宋体" w:cs="宋体"/>
                <w:sz w:val="21"/>
                <w:szCs w:val="21"/>
              </w:rPr>
              <w:t>不允许</w:t>
            </w:r>
          </w:p>
        </w:tc>
      </w:tr>
      <w:tr w14:paraId="1C3CC70B">
        <w:tblPrEx>
          <w:tblCellMar>
            <w:top w:w="0" w:type="dxa"/>
            <w:left w:w="108" w:type="dxa"/>
            <w:bottom w:w="0" w:type="dxa"/>
            <w:right w:w="108" w:type="dxa"/>
          </w:tblCellMar>
        </w:tblPrEx>
        <w:trPr>
          <w:jc w:val="center"/>
        </w:trPr>
        <w:tc>
          <w:tcPr>
            <w:tcW w:w="1078" w:type="dxa"/>
            <w:tcBorders>
              <w:top w:val="single" w:color="auto" w:sz="4" w:space="0"/>
              <w:left w:val="single" w:color="auto" w:sz="4" w:space="0"/>
              <w:bottom w:val="single" w:color="auto" w:sz="4" w:space="0"/>
              <w:right w:val="single" w:color="auto" w:sz="4" w:space="0"/>
            </w:tcBorders>
            <w:vAlign w:val="center"/>
          </w:tcPr>
          <w:p w14:paraId="097992DF">
            <w:pPr>
              <w:bidi w:val="0"/>
              <w:rPr>
                <w:rFonts w:hint="eastAsia" w:ascii="宋体" w:hAnsi="宋体" w:eastAsia="宋体" w:cs="宋体"/>
                <w:sz w:val="21"/>
                <w:szCs w:val="21"/>
              </w:rPr>
            </w:pPr>
            <w:r>
              <w:rPr>
                <w:rFonts w:hint="eastAsia" w:ascii="宋体" w:hAnsi="宋体" w:eastAsia="宋体" w:cs="宋体"/>
                <w:sz w:val="21"/>
                <w:szCs w:val="21"/>
              </w:rPr>
              <w:t>19</w:t>
            </w:r>
          </w:p>
        </w:tc>
        <w:tc>
          <w:tcPr>
            <w:tcW w:w="1985" w:type="dxa"/>
            <w:tcBorders>
              <w:top w:val="single" w:color="auto" w:sz="4" w:space="0"/>
              <w:left w:val="single" w:color="auto" w:sz="4" w:space="0"/>
              <w:bottom w:val="single" w:color="auto" w:sz="4" w:space="0"/>
              <w:right w:val="single" w:color="auto" w:sz="4" w:space="0"/>
            </w:tcBorders>
            <w:vAlign w:val="center"/>
          </w:tcPr>
          <w:p w14:paraId="40B68DA0">
            <w:pPr>
              <w:bidi w:val="0"/>
              <w:rPr>
                <w:rFonts w:hint="eastAsia" w:ascii="宋体" w:hAnsi="宋体" w:eastAsia="宋体" w:cs="宋体"/>
                <w:sz w:val="21"/>
                <w:szCs w:val="21"/>
              </w:rPr>
            </w:pPr>
            <w:r>
              <w:rPr>
                <w:rFonts w:hint="eastAsia" w:ascii="宋体" w:hAnsi="宋体" w:eastAsia="宋体" w:cs="宋体"/>
                <w:sz w:val="21"/>
                <w:szCs w:val="21"/>
              </w:rPr>
              <w:t>语言文字</w:t>
            </w:r>
          </w:p>
        </w:tc>
        <w:tc>
          <w:tcPr>
            <w:tcW w:w="6179" w:type="dxa"/>
            <w:tcBorders>
              <w:top w:val="single" w:color="auto" w:sz="4" w:space="0"/>
              <w:left w:val="single" w:color="auto" w:sz="4" w:space="0"/>
              <w:bottom w:val="single" w:color="auto" w:sz="4" w:space="0"/>
              <w:right w:val="single" w:color="auto" w:sz="4" w:space="0"/>
            </w:tcBorders>
            <w:vAlign w:val="center"/>
          </w:tcPr>
          <w:p w14:paraId="7C70D2E8">
            <w:pPr>
              <w:bidi w:val="0"/>
              <w:rPr>
                <w:rFonts w:hint="eastAsia" w:ascii="宋体" w:hAnsi="宋体" w:eastAsia="宋体" w:cs="宋体"/>
                <w:sz w:val="21"/>
                <w:szCs w:val="21"/>
              </w:rPr>
            </w:pPr>
            <w:r>
              <w:rPr>
                <w:rFonts w:hint="eastAsia" w:ascii="宋体" w:hAnsi="宋体" w:eastAsia="宋体" w:cs="宋体"/>
                <w:sz w:val="21"/>
                <w:szCs w:val="21"/>
              </w:rPr>
              <w:t>投标文件用的语言文字为简体中文。专用术语使用外文的，应附有中文注释。</w:t>
            </w:r>
          </w:p>
        </w:tc>
      </w:tr>
      <w:tr w14:paraId="655AF19A">
        <w:tblPrEx>
          <w:tblCellMar>
            <w:top w:w="0" w:type="dxa"/>
            <w:left w:w="108" w:type="dxa"/>
            <w:bottom w:w="0" w:type="dxa"/>
            <w:right w:w="108" w:type="dxa"/>
          </w:tblCellMar>
        </w:tblPrEx>
        <w:trPr>
          <w:trHeight w:val="539"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2E51436E">
            <w:pPr>
              <w:bidi w:val="0"/>
              <w:rPr>
                <w:rFonts w:hint="eastAsia" w:ascii="宋体" w:hAnsi="宋体" w:eastAsia="宋体" w:cs="宋体"/>
                <w:sz w:val="21"/>
                <w:szCs w:val="21"/>
              </w:rPr>
            </w:pPr>
            <w:r>
              <w:rPr>
                <w:rFonts w:hint="eastAsia" w:ascii="宋体" w:hAnsi="宋体" w:eastAsia="宋体" w:cs="宋体"/>
                <w:sz w:val="21"/>
                <w:szCs w:val="21"/>
              </w:rPr>
              <w:t>20</w:t>
            </w:r>
          </w:p>
        </w:tc>
        <w:tc>
          <w:tcPr>
            <w:tcW w:w="1985" w:type="dxa"/>
            <w:tcBorders>
              <w:top w:val="single" w:color="auto" w:sz="4" w:space="0"/>
              <w:left w:val="single" w:color="auto" w:sz="4" w:space="0"/>
              <w:bottom w:val="single" w:color="auto" w:sz="4" w:space="0"/>
              <w:right w:val="single" w:color="auto" w:sz="4" w:space="0"/>
            </w:tcBorders>
            <w:vAlign w:val="center"/>
          </w:tcPr>
          <w:p w14:paraId="193E18A9">
            <w:pPr>
              <w:bidi w:val="0"/>
              <w:rPr>
                <w:rFonts w:hint="eastAsia" w:ascii="宋体" w:hAnsi="宋体" w:eastAsia="宋体" w:cs="宋体"/>
                <w:sz w:val="21"/>
                <w:szCs w:val="21"/>
              </w:rPr>
            </w:pPr>
            <w:r>
              <w:rPr>
                <w:rFonts w:hint="eastAsia" w:ascii="宋体" w:hAnsi="宋体" w:eastAsia="宋体" w:cs="宋体"/>
                <w:sz w:val="21"/>
                <w:szCs w:val="21"/>
              </w:rPr>
              <w:t>计量单位</w:t>
            </w:r>
          </w:p>
        </w:tc>
        <w:tc>
          <w:tcPr>
            <w:tcW w:w="6179" w:type="dxa"/>
            <w:tcBorders>
              <w:top w:val="single" w:color="auto" w:sz="4" w:space="0"/>
              <w:left w:val="single" w:color="auto" w:sz="4" w:space="0"/>
              <w:bottom w:val="single" w:color="auto" w:sz="4" w:space="0"/>
              <w:right w:val="single" w:color="auto" w:sz="4" w:space="0"/>
            </w:tcBorders>
            <w:vAlign w:val="center"/>
          </w:tcPr>
          <w:p w14:paraId="6A2BDC01">
            <w:pPr>
              <w:bidi w:val="0"/>
              <w:rPr>
                <w:rFonts w:hint="eastAsia" w:ascii="宋体" w:hAnsi="宋体" w:eastAsia="宋体" w:cs="宋体"/>
                <w:sz w:val="21"/>
                <w:szCs w:val="21"/>
              </w:rPr>
            </w:pPr>
            <w:r>
              <w:rPr>
                <w:rFonts w:hint="eastAsia" w:ascii="宋体" w:hAnsi="宋体" w:eastAsia="宋体" w:cs="宋体"/>
                <w:sz w:val="21"/>
                <w:szCs w:val="21"/>
              </w:rPr>
              <w:t>所有计量均采用中华人民共和国法定计量单位</w:t>
            </w:r>
          </w:p>
        </w:tc>
      </w:tr>
      <w:tr w14:paraId="7BEF30B8">
        <w:tblPrEx>
          <w:tblCellMar>
            <w:top w:w="0" w:type="dxa"/>
            <w:left w:w="108" w:type="dxa"/>
            <w:bottom w:w="0" w:type="dxa"/>
            <w:right w:w="108" w:type="dxa"/>
          </w:tblCellMar>
        </w:tblPrEx>
        <w:trPr>
          <w:trHeight w:val="629"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4595237F">
            <w:pPr>
              <w:bidi w:val="0"/>
              <w:rPr>
                <w:rFonts w:hint="eastAsia" w:ascii="宋体" w:hAnsi="宋体" w:eastAsia="宋体" w:cs="宋体"/>
                <w:sz w:val="21"/>
                <w:szCs w:val="21"/>
              </w:rPr>
            </w:pPr>
            <w:r>
              <w:rPr>
                <w:rFonts w:hint="eastAsia" w:ascii="宋体" w:hAnsi="宋体" w:eastAsia="宋体" w:cs="宋体"/>
                <w:sz w:val="21"/>
                <w:szCs w:val="21"/>
              </w:rPr>
              <w:t>21</w:t>
            </w:r>
          </w:p>
        </w:tc>
        <w:tc>
          <w:tcPr>
            <w:tcW w:w="1985" w:type="dxa"/>
            <w:tcBorders>
              <w:top w:val="single" w:color="auto" w:sz="4" w:space="0"/>
              <w:left w:val="single" w:color="auto" w:sz="4" w:space="0"/>
              <w:bottom w:val="single" w:color="auto" w:sz="4" w:space="0"/>
              <w:right w:val="single" w:color="auto" w:sz="4" w:space="0"/>
            </w:tcBorders>
            <w:vAlign w:val="center"/>
          </w:tcPr>
          <w:p w14:paraId="476EE90C">
            <w:pPr>
              <w:bidi w:val="0"/>
              <w:rPr>
                <w:rFonts w:hint="eastAsia" w:ascii="宋体" w:hAnsi="宋体" w:eastAsia="宋体" w:cs="宋体"/>
                <w:sz w:val="21"/>
                <w:szCs w:val="21"/>
              </w:rPr>
            </w:pPr>
            <w:r>
              <w:rPr>
                <w:rFonts w:hint="eastAsia" w:ascii="宋体" w:hAnsi="宋体" w:eastAsia="宋体" w:cs="宋体"/>
                <w:sz w:val="21"/>
                <w:szCs w:val="21"/>
              </w:rPr>
              <w:t>签字和</w:t>
            </w:r>
          </w:p>
          <w:p w14:paraId="36C3C4D1">
            <w:pPr>
              <w:bidi w:val="0"/>
              <w:rPr>
                <w:rFonts w:hint="eastAsia" w:ascii="宋体" w:hAnsi="宋体" w:eastAsia="宋体" w:cs="宋体"/>
                <w:sz w:val="21"/>
                <w:szCs w:val="21"/>
              </w:rPr>
            </w:pPr>
            <w:r>
              <w:rPr>
                <w:rFonts w:hint="eastAsia" w:ascii="宋体" w:hAnsi="宋体" w:eastAsia="宋体" w:cs="宋体"/>
                <w:sz w:val="21"/>
                <w:szCs w:val="21"/>
              </w:rPr>
              <w:t>（或）盖章要求</w:t>
            </w:r>
          </w:p>
        </w:tc>
        <w:tc>
          <w:tcPr>
            <w:tcW w:w="6179" w:type="dxa"/>
            <w:tcBorders>
              <w:top w:val="single" w:color="auto" w:sz="4" w:space="0"/>
              <w:left w:val="single" w:color="auto" w:sz="4" w:space="0"/>
              <w:bottom w:val="single" w:color="auto" w:sz="4" w:space="0"/>
              <w:right w:val="single" w:color="auto" w:sz="4" w:space="0"/>
            </w:tcBorders>
            <w:vAlign w:val="center"/>
          </w:tcPr>
          <w:p w14:paraId="1EC14CA8">
            <w:pPr>
              <w:bidi w:val="0"/>
              <w:rPr>
                <w:rFonts w:hint="eastAsia" w:ascii="宋体" w:hAnsi="宋体" w:eastAsia="宋体" w:cs="宋体"/>
                <w:sz w:val="21"/>
                <w:szCs w:val="21"/>
              </w:rPr>
            </w:pPr>
            <w:r>
              <w:rPr>
                <w:rFonts w:hint="eastAsia" w:ascii="宋体" w:hAnsi="宋体" w:eastAsia="宋体" w:cs="宋体"/>
                <w:sz w:val="21"/>
                <w:szCs w:val="21"/>
              </w:rPr>
              <w:t>符合“第六章 投标文件格式”要求</w:t>
            </w:r>
          </w:p>
        </w:tc>
      </w:tr>
      <w:tr w14:paraId="2A73E68A">
        <w:tblPrEx>
          <w:tblCellMar>
            <w:top w:w="0" w:type="dxa"/>
            <w:left w:w="108" w:type="dxa"/>
            <w:bottom w:w="0" w:type="dxa"/>
            <w:right w:w="108" w:type="dxa"/>
          </w:tblCellMar>
        </w:tblPrEx>
        <w:trPr>
          <w:trHeight w:val="754"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7B8D1243">
            <w:pPr>
              <w:bidi w:val="0"/>
              <w:rPr>
                <w:rFonts w:hint="eastAsia" w:ascii="宋体" w:hAnsi="宋体" w:eastAsia="宋体" w:cs="宋体"/>
                <w:sz w:val="21"/>
                <w:szCs w:val="21"/>
              </w:rPr>
            </w:pPr>
            <w:r>
              <w:rPr>
                <w:rFonts w:hint="eastAsia" w:ascii="宋体" w:hAnsi="宋体" w:eastAsia="宋体" w:cs="宋体"/>
                <w:sz w:val="21"/>
                <w:szCs w:val="21"/>
              </w:rPr>
              <w:t>22</w:t>
            </w:r>
          </w:p>
        </w:tc>
        <w:tc>
          <w:tcPr>
            <w:tcW w:w="1985" w:type="dxa"/>
            <w:tcBorders>
              <w:top w:val="single" w:color="auto" w:sz="4" w:space="0"/>
              <w:left w:val="single" w:color="auto" w:sz="4" w:space="0"/>
              <w:bottom w:val="single" w:color="auto" w:sz="4" w:space="0"/>
              <w:right w:val="single" w:color="auto" w:sz="4" w:space="0"/>
            </w:tcBorders>
            <w:vAlign w:val="center"/>
          </w:tcPr>
          <w:p w14:paraId="3F1BA6FC">
            <w:pPr>
              <w:bidi w:val="0"/>
              <w:rPr>
                <w:rFonts w:hint="eastAsia" w:ascii="宋体" w:hAnsi="宋体" w:eastAsia="宋体" w:cs="宋体"/>
                <w:sz w:val="21"/>
                <w:szCs w:val="21"/>
              </w:rPr>
            </w:pPr>
            <w:r>
              <w:rPr>
                <w:rFonts w:hint="eastAsia" w:ascii="宋体" w:hAnsi="宋体" w:eastAsia="宋体" w:cs="宋体"/>
                <w:sz w:val="21"/>
                <w:szCs w:val="21"/>
              </w:rPr>
              <w:t>开标时间和地点</w:t>
            </w:r>
          </w:p>
        </w:tc>
        <w:tc>
          <w:tcPr>
            <w:tcW w:w="6179" w:type="dxa"/>
            <w:tcBorders>
              <w:top w:val="single" w:color="auto" w:sz="4" w:space="0"/>
              <w:left w:val="single" w:color="auto" w:sz="4" w:space="0"/>
              <w:bottom w:val="single" w:color="auto" w:sz="4" w:space="0"/>
              <w:right w:val="single" w:color="auto" w:sz="4" w:space="0"/>
            </w:tcBorders>
            <w:vAlign w:val="center"/>
          </w:tcPr>
          <w:p w14:paraId="39B2D1C5">
            <w:pPr>
              <w:bidi w:val="0"/>
              <w:rPr>
                <w:rFonts w:hint="eastAsia" w:ascii="宋体" w:hAnsi="宋体" w:eastAsia="宋体" w:cs="宋体"/>
                <w:sz w:val="21"/>
                <w:szCs w:val="21"/>
              </w:rPr>
            </w:pPr>
            <w:r>
              <w:rPr>
                <w:rFonts w:hint="eastAsia" w:ascii="宋体" w:hAnsi="宋体" w:eastAsia="宋体" w:cs="宋体"/>
                <w:sz w:val="21"/>
                <w:szCs w:val="21"/>
              </w:rPr>
              <w:t>开标时间：同投标文件递交截止时间</w:t>
            </w:r>
          </w:p>
          <w:p w14:paraId="50A0D22C">
            <w:pPr>
              <w:bidi w:val="0"/>
              <w:rPr>
                <w:rFonts w:hint="eastAsia" w:ascii="宋体" w:hAnsi="宋体" w:eastAsia="宋体" w:cs="宋体"/>
                <w:sz w:val="21"/>
                <w:szCs w:val="21"/>
              </w:rPr>
            </w:pPr>
            <w:r>
              <w:rPr>
                <w:rFonts w:hint="eastAsia" w:ascii="宋体" w:hAnsi="宋体" w:eastAsia="宋体" w:cs="宋体"/>
                <w:sz w:val="21"/>
                <w:szCs w:val="21"/>
              </w:rPr>
              <w:t>开标地点：同投标文件递交地点</w:t>
            </w:r>
          </w:p>
        </w:tc>
      </w:tr>
      <w:tr w14:paraId="1A2937AE">
        <w:tblPrEx>
          <w:tblCellMar>
            <w:top w:w="0" w:type="dxa"/>
            <w:left w:w="108" w:type="dxa"/>
            <w:bottom w:w="0" w:type="dxa"/>
            <w:right w:w="108" w:type="dxa"/>
          </w:tblCellMar>
        </w:tblPrEx>
        <w:trPr>
          <w:trHeight w:val="428"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7C878353">
            <w:pPr>
              <w:bidi w:val="0"/>
              <w:rPr>
                <w:rFonts w:hint="eastAsia" w:ascii="宋体" w:hAnsi="宋体" w:eastAsia="宋体" w:cs="宋体"/>
                <w:sz w:val="21"/>
                <w:szCs w:val="21"/>
              </w:rPr>
            </w:pPr>
            <w:r>
              <w:rPr>
                <w:rFonts w:hint="eastAsia" w:ascii="宋体" w:hAnsi="宋体" w:eastAsia="宋体" w:cs="宋体"/>
                <w:sz w:val="21"/>
                <w:szCs w:val="21"/>
              </w:rPr>
              <w:t>23</w:t>
            </w:r>
          </w:p>
        </w:tc>
        <w:tc>
          <w:tcPr>
            <w:tcW w:w="1985" w:type="dxa"/>
            <w:tcBorders>
              <w:top w:val="single" w:color="auto" w:sz="4" w:space="0"/>
              <w:left w:val="single" w:color="auto" w:sz="4" w:space="0"/>
              <w:bottom w:val="single" w:color="auto" w:sz="4" w:space="0"/>
              <w:right w:val="single" w:color="auto" w:sz="4" w:space="0"/>
            </w:tcBorders>
            <w:vAlign w:val="center"/>
          </w:tcPr>
          <w:p w14:paraId="17C11D55">
            <w:pPr>
              <w:bidi w:val="0"/>
              <w:rPr>
                <w:rFonts w:hint="eastAsia" w:ascii="宋体" w:hAnsi="宋体" w:eastAsia="宋体" w:cs="宋体"/>
                <w:sz w:val="21"/>
                <w:szCs w:val="21"/>
              </w:rPr>
            </w:pPr>
            <w:r>
              <w:rPr>
                <w:rFonts w:hint="eastAsia" w:ascii="宋体" w:hAnsi="宋体" w:eastAsia="宋体" w:cs="宋体"/>
                <w:sz w:val="21"/>
                <w:szCs w:val="21"/>
              </w:rPr>
              <w:t>评标委员会的组建</w:t>
            </w:r>
          </w:p>
        </w:tc>
        <w:tc>
          <w:tcPr>
            <w:tcW w:w="6179" w:type="dxa"/>
            <w:tcBorders>
              <w:top w:val="single" w:color="auto" w:sz="4" w:space="0"/>
              <w:left w:val="single" w:color="auto" w:sz="4" w:space="0"/>
              <w:bottom w:val="single" w:color="auto" w:sz="4" w:space="0"/>
              <w:right w:val="single" w:color="auto" w:sz="4" w:space="0"/>
            </w:tcBorders>
            <w:vAlign w:val="center"/>
          </w:tcPr>
          <w:p w14:paraId="4E1C3836">
            <w:pPr>
              <w:bidi w:val="0"/>
              <w:rPr>
                <w:rFonts w:hint="eastAsia" w:ascii="宋体" w:hAnsi="宋体" w:eastAsia="宋体" w:cs="宋体"/>
                <w:sz w:val="21"/>
                <w:szCs w:val="21"/>
              </w:rPr>
            </w:pPr>
            <w:r>
              <w:rPr>
                <w:rFonts w:hint="eastAsia" w:ascii="宋体" w:hAnsi="宋体" w:eastAsia="宋体" w:cs="宋体"/>
                <w:sz w:val="21"/>
                <w:szCs w:val="21"/>
              </w:rPr>
              <w:t>评标委员会构成：评标委员会由采购人代表和评审专家共5人以上单数组成，其中评审专家人数不得少于评标委员会成员总数的2/3。</w:t>
            </w:r>
          </w:p>
          <w:p w14:paraId="7F296DE1">
            <w:pPr>
              <w:bidi w:val="0"/>
              <w:rPr>
                <w:rFonts w:hint="eastAsia" w:ascii="宋体" w:hAnsi="宋体" w:eastAsia="宋体" w:cs="宋体"/>
                <w:sz w:val="21"/>
                <w:szCs w:val="21"/>
              </w:rPr>
            </w:pPr>
            <w:r>
              <w:rPr>
                <w:rFonts w:hint="eastAsia" w:ascii="宋体" w:hAnsi="宋体" w:eastAsia="宋体" w:cs="宋体"/>
                <w:sz w:val="21"/>
                <w:szCs w:val="21"/>
              </w:rPr>
              <w:t>评标专家确定方式：在专家库中随机抽取产生。</w:t>
            </w:r>
          </w:p>
          <w:p w14:paraId="596FB04B">
            <w:pPr>
              <w:bidi w:val="0"/>
              <w:rPr>
                <w:rFonts w:hint="eastAsia" w:ascii="宋体" w:hAnsi="宋体" w:eastAsia="宋体" w:cs="宋体"/>
                <w:sz w:val="21"/>
                <w:szCs w:val="21"/>
              </w:rPr>
            </w:pPr>
            <w:r>
              <w:rPr>
                <w:rFonts w:hint="eastAsia" w:ascii="宋体" w:hAnsi="宋体" w:eastAsia="宋体" w:cs="宋体"/>
                <w:sz w:val="21"/>
                <w:szCs w:val="21"/>
              </w:rPr>
              <w:t>注：上述规定为一组评标专家委员会组成方式，根据项目标段数量和评标工作量，可由多组专家委员会完成评审，但一个标段只能由一组评标专家委员会评审。</w:t>
            </w:r>
          </w:p>
        </w:tc>
      </w:tr>
      <w:tr w14:paraId="56A64382">
        <w:tblPrEx>
          <w:tblCellMar>
            <w:top w:w="0" w:type="dxa"/>
            <w:left w:w="108" w:type="dxa"/>
            <w:bottom w:w="0" w:type="dxa"/>
            <w:right w:w="108" w:type="dxa"/>
          </w:tblCellMar>
        </w:tblPrEx>
        <w:trPr>
          <w:trHeight w:val="715"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6DBF07F8">
            <w:pPr>
              <w:bidi w:val="0"/>
              <w:rPr>
                <w:rFonts w:hint="eastAsia" w:ascii="宋体" w:hAnsi="宋体" w:eastAsia="宋体" w:cs="宋体"/>
                <w:sz w:val="21"/>
                <w:szCs w:val="21"/>
              </w:rPr>
            </w:pPr>
            <w:r>
              <w:rPr>
                <w:rFonts w:hint="eastAsia" w:ascii="宋体" w:hAnsi="宋体" w:eastAsia="宋体" w:cs="宋体"/>
                <w:sz w:val="21"/>
                <w:szCs w:val="21"/>
              </w:rPr>
              <w:t>24</w:t>
            </w:r>
          </w:p>
        </w:tc>
        <w:tc>
          <w:tcPr>
            <w:tcW w:w="1985" w:type="dxa"/>
            <w:tcBorders>
              <w:top w:val="single" w:color="auto" w:sz="4" w:space="0"/>
              <w:left w:val="single" w:color="auto" w:sz="4" w:space="0"/>
              <w:bottom w:val="single" w:color="auto" w:sz="4" w:space="0"/>
              <w:right w:val="single" w:color="auto" w:sz="4" w:space="0"/>
            </w:tcBorders>
            <w:vAlign w:val="center"/>
          </w:tcPr>
          <w:p w14:paraId="1D7A9B55">
            <w:pPr>
              <w:bidi w:val="0"/>
              <w:rPr>
                <w:rFonts w:hint="eastAsia" w:ascii="宋体" w:hAnsi="宋体" w:eastAsia="宋体" w:cs="宋体"/>
                <w:sz w:val="21"/>
                <w:szCs w:val="21"/>
              </w:rPr>
            </w:pPr>
            <w:r>
              <w:rPr>
                <w:rFonts w:hint="eastAsia" w:ascii="宋体" w:hAnsi="宋体" w:eastAsia="宋体" w:cs="宋体"/>
                <w:sz w:val="21"/>
                <w:szCs w:val="21"/>
              </w:rPr>
              <w:t>是否授权评标委员会确定成交人</w:t>
            </w:r>
          </w:p>
        </w:tc>
        <w:tc>
          <w:tcPr>
            <w:tcW w:w="6179" w:type="dxa"/>
            <w:tcBorders>
              <w:top w:val="single" w:color="auto" w:sz="4" w:space="0"/>
              <w:left w:val="single" w:color="auto" w:sz="4" w:space="0"/>
              <w:bottom w:val="single" w:color="auto" w:sz="4" w:space="0"/>
              <w:right w:val="single" w:color="auto" w:sz="4" w:space="0"/>
            </w:tcBorders>
            <w:vAlign w:val="center"/>
          </w:tcPr>
          <w:p w14:paraId="4908D53D">
            <w:pPr>
              <w:bidi w:val="0"/>
              <w:rPr>
                <w:rFonts w:hint="eastAsia" w:ascii="宋体" w:hAnsi="宋体" w:eastAsia="宋体" w:cs="宋体"/>
                <w:sz w:val="21"/>
                <w:szCs w:val="21"/>
              </w:rPr>
            </w:pPr>
            <w:r>
              <w:rPr>
                <w:rFonts w:hint="eastAsia" w:ascii="宋体" w:hAnsi="宋体" w:eastAsia="宋体" w:cs="宋体"/>
                <w:sz w:val="21"/>
                <w:szCs w:val="21"/>
              </w:rPr>
              <w:t>否，推荐1-3名中标候选人；</w:t>
            </w:r>
          </w:p>
          <w:p w14:paraId="2B4D95C4">
            <w:pPr>
              <w:bidi w:val="0"/>
              <w:rPr>
                <w:rFonts w:hint="eastAsia" w:ascii="宋体" w:hAnsi="宋体" w:eastAsia="宋体" w:cs="宋体"/>
                <w:sz w:val="21"/>
                <w:szCs w:val="21"/>
              </w:rPr>
            </w:pPr>
            <w:r>
              <w:rPr>
                <w:rFonts w:hint="eastAsia" w:ascii="宋体" w:hAnsi="宋体" w:eastAsia="宋体" w:cs="宋体"/>
                <w:sz w:val="21"/>
                <w:szCs w:val="21"/>
              </w:rPr>
              <w:t>以综合评分得分由高到低的顺序推荐1-3名中标候选人，排名第一的中标候选人放弃中标、因不可抗力提出不能履行合同，或者招标文件规定应当提交合同履约保证金而在规定的期限内未能提交的，采购人可以确定第二中标候选人为中标人（或者重新招标）；依次类推。当所有中标候选人因上述同样原因不能签订合同的，采购人将依法重新招标。</w:t>
            </w:r>
          </w:p>
        </w:tc>
      </w:tr>
      <w:tr w14:paraId="2EDF78D6">
        <w:tblPrEx>
          <w:tblCellMar>
            <w:top w:w="0" w:type="dxa"/>
            <w:left w:w="108" w:type="dxa"/>
            <w:bottom w:w="0" w:type="dxa"/>
            <w:right w:w="108" w:type="dxa"/>
          </w:tblCellMar>
        </w:tblPrEx>
        <w:trPr>
          <w:trHeight w:val="880"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7A25C755">
            <w:pPr>
              <w:bidi w:val="0"/>
              <w:rPr>
                <w:rFonts w:hint="eastAsia" w:ascii="宋体" w:hAnsi="宋体" w:eastAsia="宋体" w:cs="宋体"/>
                <w:sz w:val="21"/>
                <w:szCs w:val="21"/>
              </w:rPr>
            </w:pPr>
            <w:r>
              <w:rPr>
                <w:rFonts w:hint="eastAsia" w:ascii="宋体" w:hAnsi="宋体" w:eastAsia="宋体" w:cs="宋体"/>
                <w:sz w:val="21"/>
                <w:szCs w:val="21"/>
              </w:rPr>
              <w:t>25</w:t>
            </w:r>
          </w:p>
        </w:tc>
        <w:tc>
          <w:tcPr>
            <w:tcW w:w="1985" w:type="dxa"/>
            <w:tcBorders>
              <w:top w:val="single" w:color="auto" w:sz="4" w:space="0"/>
              <w:left w:val="single" w:color="auto" w:sz="4" w:space="0"/>
              <w:bottom w:val="single" w:color="auto" w:sz="4" w:space="0"/>
              <w:right w:val="single" w:color="auto" w:sz="4" w:space="0"/>
            </w:tcBorders>
            <w:vAlign w:val="center"/>
          </w:tcPr>
          <w:p w14:paraId="7A0C03B0">
            <w:pPr>
              <w:bidi w:val="0"/>
              <w:rPr>
                <w:rFonts w:hint="eastAsia" w:ascii="宋体" w:hAnsi="宋体" w:eastAsia="宋体" w:cs="宋体"/>
                <w:sz w:val="21"/>
                <w:szCs w:val="21"/>
              </w:rPr>
            </w:pPr>
            <w:r>
              <w:rPr>
                <w:rFonts w:hint="eastAsia" w:ascii="宋体" w:hAnsi="宋体" w:eastAsia="宋体" w:cs="宋体"/>
                <w:sz w:val="21"/>
                <w:szCs w:val="21"/>
              </w:rPr>
              <w:t>招标控制价</w:t>
            </w:r>
          </w:p>
        </w:tc>
        <w:tc>
          <w:tcPr>
            <w:tcW w:w="6179" w:type="dxa"/>
            <w:tcBorders>
              <w:top w:val="single" w:color="auto" w:sz="4" w:space="0"/>
              <w:left w:val="single" w:color="auto" w:sz="4" w:space="0"/>
              <w:bottom w:val="single" w:color="auto" w:sz="4" w:space="0"/>
              <w:right w:val="single" w:color="auto" w:sz="4" w:space="0"/>
            </w:tcBorders>
            <w:vAlign w:val="center"/>
          </w:tcPr>
          <w:p w14:paraId="3DE11926">
            <w:pPr>
              <w:bidi w:val="0"/>
              <w:rPr>
                <w:rFonts w:hint="eastAsia" w:ascii="宋体" w:hAnsi="宋体" w:eastAsia="宋体" w:cs="宋体"/>
                <w:sz w:val="21"/>
                <w:szCs w:val="21"/>
              </w:rPr>
            </w:pPr>
            <w:r>
              <w:rPr>
                <w:rFonts w:hint="eastAsia" w:ascii="宋体" w:hAnsi="宋体" w:eastAsia="宋体" w:cs="宋体"/>
                <w:sz w:val="21"/>
                <w:szCs w:val="21"/>
              </w:rPr>
              <w:t>最高限价：</w:t>
            </w:r>
            <w:r>
              <w:rPr>
                <w:rFonts w:hint="eastAsia" w:ascii="宋体" w:hAnsi="宋体" w:eastAsia="宋体" w:cs="宋体"/>
                <w:sz w:val="21"/>
                <w:szCs w:val="21"/>
                <w:lang w:eastAsia="zh-CN"/>
              </w:rPr>
              <w:t>930946.00</w:t>
            </w:r>
            <w:r>
              <w:rPr>
                <w:rFonts w:hint="eastAsia" w:ascii="宋体" w:hAnsi="宋体" w:eastAsia="宋体" w:cs="宋体"/>
                <w:sz w:val="21"/>
                <w:szCs w:val="21"/>
              </w:rPr>
              <w:t>元</w:t>
            </w:r>
          </w:p>
          <w:p w14:paraId="3C3C420C">
            <w:pPr>
              <w:bidi w:val="0"/>
              <w:rPr>
                <w:rFonts w:hint="eastAsia" w:ascii="宋体" w:hAnsi="宋体" w:eastAsia="宋体" w:cs="宋体"/>
                <w:sz w:val="21"/>
                <w:szCs w:val="21"/>
              </w:rPr>
            </w:pPr>
            <w:r>
              <w:rPr>
                <w:rFonts w:hint="eastAsia" w:ascii="宋体" w:hAnsi="宋体" w:eastAsia="宋体" w:cs="宋体"/>
                <w:sz w:val="21"/>
                <w:szCs w:val="21"/>
              </w:rPr>
              <w:t>各投标人投标总报价不得超出最高限价，否则视为无效投标。</w:t>
            </w:r>
          </w:p>
        </w:tc>
      </w:tr>
      <w:tr w14:paraId="6BCD8E7E">
        <w:tblPrEx>
          <w:tblCellMar>
            <w:top w:w="0" w:type="dxa"/>
            <w:left w:w="108" w:type="dxa"/>
            <w:bottom w:w="0" w:type="dxa"/>
            <w:right w:w="108" w:type="dxa"/>
          </w:tblCellMar>
        </w:tblPrEx>
        <w:trPr>
          <w:trHeight w:val="880"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152ACE73">
            <w:pPr>
              <w:bidi w:val="0"/>
              <w:rPr>
                <w:rFonts w:hint="eastAsia" w:ascii="宋体" w:hAnsi="宋体" w:eastAsia="宋体" w:cs="宋体"/>
                <w:sz w:val="21"/>
                <w:szCs w:val="21"/>
              </w:rPr>
            </w:pPr>
            <w:r>
              <w:rPr>
                <w:rFonts w:hint="eastAsia" w:ascii="宋体" w:hAnsi="宋体" w:eastAsia="宋体" w:cs="宋体"/>
                <w:sz w:val="21"/>
                <w:szCs w:val="21"/>
              </w:rPr>
              <w:t>26</w:t>
            </w:r>
          </w:p>
        </w:tc>
        <w:tc>
          <w:tcPr>
            <w:tcW w:w="1985" w:type="dxa"/>
            <w:tcBorders>
              <w:top w:val="single" w:color="auto" w:sz="4" w:space="0"/>
              <w:left w:val="single" w:color="auto" w:sz="4" w:space="0"/>
              <w:bottom w:val="single" w:color="auto" w:sz="4" w:space="0"/>
              <w:right w:val="single" w:color="auto" w:sz="4" w:space="0"/>
            </w:tcBorders>
            <w:vAlign w:val="center"/>
          </w:tcPr>
          <w:p w14:paraId="63C5FC45">
            <w:pPr>
              <w:bidi w:val="0"/>
              <w:rPr>
                <w:rFonts w:hint="eastAsia" w:ascii="宋体" w:hAnsi="宋体" w:eastAsia="宋体" w:cs="宋体"/>
                <w:sz w:val="21"/>
                <w:szCs w:val="21"/>
              </w:rPr>
            </w:pPr>
            <w:r>
              <w:rPr>
                <w:rFonts w:hint="eastAsia" w:ascii="宋体" w:hAnsi="宋体" w:eastAsia="宋体" w:cs="宋体"/>
                <w:sz w:val="21"/>
                <w:szCs w:val="21"/>
              </w:rPr>
              <w:t>结果公示</w:t>
            </w:r>
          </w:p>
        </w:tc>
        <w:tc>
          <w:tcPr>
            <w:tcW w:w="6179" w:type="dxa"/>
            <w:tcBorders>
              <w:top w:val="single" w:color="auto" w:sz="4" w:space="0"/>
              <w:left w:val="single" w:color="auto" w:sz="4" w:space="0"/>
              <w:bottom w:val="single" w:color="auto" w:sz="4" w:space="0"/>
              <w:right w:val="single" w:color="auto" w:sz="4" w:space="0"/>
            </w:tcBorders>
            <w:vAlign w:val="center"/>
          </w:tcPr>
          <w:p w14:paraId="17825DA2">
            <w:pPr>
              <w:bidi w:val="0"/>
              <w:rPr>
                <w:rFonts w:hint="eastAsia" w:ascii="宋体" w:hAnsi="宋体" w:eastAsia="宋体" w:cs="宋体"/>
                <w:sz w:val="21"/>
                <w:szCs w:val="21"/>
              </w:rPr>
            </w:pPr>
            <w:r>
              <w:rPr>
                <w:rFonts w:hint="eastAsia" w:ascii="宋体" w:hAnsi="宋体" w:eastAsia="宋体" w:cs="宋体"/>
                <w:sz w:val="21"/>
                <w:szCs w:val="21"/>
              </w:rPr>
              <w:t>在中标通知书发出前，采购人将中标候选人的情况在本招标项目招标公告发布的同一媒介予以公示。</w:t>
            </w:r>
          </w:p>
        </w:tc>
      </w:tr>
      <w:tr w14:paraId="61915CE1">
        <w:tblPrEx>
          <w:tblCellMar>
            <w:top w:w="0" w:type="dxa"/>
            <w:left w:w="108" w:type="dxa"/>
            <w:bottom w:w="0" w:type="dxa"/>
            <w:right w:w="108" w:type="dxa"/>
          </w:tblCellMar>
        </w:tblPrEx>
        <w:trPr>
          <w:trHeight w:val="880"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0DC3758C">
            <w:pPr>
              <w:bidi w:val="0"/>
              <w:rPr>
                <w:rFonts w:hint="eastAsia" w:ascii="宋体" w:hAnsi="宋体" w:eastAsia="宋体" w:cs="宋体"/>
                <w:sz w:val="21"/>
                <w:szCs w:val="21"/>
              </w:rPr>
            </w:pPr>
            <w:r>
              <w:rPr>
                <w:rFonts w:hint="eastAsia" w:ascii="宋体" w:hAnsi="宋体" w:eastAsia="宋体" w:cs="宋体"/>
                <w:sz w:val="21"/>
                <w:szCs w:val="21"/>
              </w:rPr>
              <w:t>27</w:t>
            </w:r>
          </w:p>
        </w:tc>
        <w:tc>
          <w:tcPr>
            <w:tcW w:w="1985" w:type="dxa"/>
            <w:tcBorders>
              <w:top w:val="single" w:color="auto" w:sz="4" w:space="0"/>
              <w:left w:val="single" w:color="auto" w:sz="4" w:space="0"/>
              <w:bottom w:val="single" w:color="auto" w:sz="4" w:space="0"/>
              <w:right w:val="single" w:color="auto" w:sz="4" w:space="0"/>
            </w:tcBorders>
            <w:vAlign w:val="center"/>
          </w:tcPr>
          <w:p w14:paraId="2163AE08">
            <w:pPr>
              <w:bidi w:val="0"/>
              <w:rPr>
                <w:rFonts w:hint="eastAsia" w:ascii="宋体" w:hAnsi="宋体" w:eastAsia="宋体" w:cs="宋体"/>
                <w:sz w:val="21"/>
                <w:szCs w:val="21"/>
              </w:rPr>
            </w:pPr>
            <w:r>
              <w:rPr>
                <w:rFonts w:hint="eastAsia" w:ascii="宋体" w:hAnsi="宋体" w:eastAsia="宋体" w:cs="宋体"/>
                <w:sz w:val="21"/>
                <w:szCs w:val="21"/>
              </w:rPr>
              <w:t>同义词语</w:t>
            </w:r>
          </w:p>
        </w:tc>
        <w:tc>
          <w:tcPr>
            <w:tcW w:w="6179" w:type="dxa"/>
            <w:tcBorders>
              <w:top w:val="single" w:color="auto" w:sz="4" w:space="0"/>
              <w:left w:val="single" w:color="auto" w:sz="4" w:space="0"/>
              <w:bottom w:val="single" w:color="auto" w:sz="4" w:space="0"/>
              <w:right w:val="single" w:color="auto" w:sz="4" w:space="0"/>
            </w:tcBorders>
            <w:vAlign w:val="center"/>
          </w:tcPr>
          <w:p w14:paraId="4CF52430">
            <w:pPr>
              <w:bidi w:val="0"/>
              <w:rPr>
                <w:rFonts w:hint="eastAsia" w:ascii="宋体" w:hAnsi="宋体" w:eastAsia="宋体" w:cs="宋体"/>
                <w:sz w:val="21"/>
                <w:szCs w:val="21"/>
              </w:rPr>
            </w:pPr>
            <w:r>
              <w:rPr>
                <w:rFonts w:hint="eastAsia" w:ascii="宋体" w:hAnsi="宋体" w:eastAsia="宋体" w:cs="宋体"/>
                <w:sz w:val="21"/>
                <w:szCs w:val="21"/>
              </w:rPr>
              <w:t>构成招标文件组成部分的“通用合同条款”、“专用合同条款”、“技术标准和要求”等章节中出现的措辞“发包人”和“承包人”在招标投标阶段应当分别按“采购人”和“投标人”进行理解。</w:t>
            </w:r>
          </w:p>
        </w:tc>
      </w:tr>
      <w:tr w14:paraId="4A65349A">
        <w:tblPrEx>
          <w:tblCellMar>
            <w:top w:w="0" w:type="dxa"/>
            <w:left w:w="108" w:type="dxa"/>
            <w:bottom w:w="0" w:type="dxa"/>
            <w:right w:w="108" w:type="dxa"/>
          </w:tblCellMar>
        </w:tblPrEx>
        <w:trPr>
          <w:trHeight w:val="558"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6ED784E1">
            <w:pPr>
              <w:bidi w:val="0"/>
              <w:rPr>
                <w:rFonts w:hint="eastAsia" w:ascii="宋体" w:hAnsi="宋体" w:eastAsia="宋体" w:cs="宋体"/>
                <w:sz w:val="21"/>
                <w:szCs w:val="21"/>
              </w:rPr>
            </w:pPr>
            <w:r>
              <w:rPr>
                <w:rFonts w:hint="eastAsia" w:ascii="宋体" w:hAnsi="宋体" w:eastAsia="宋体" w:cs="宋体"/>
                <w:sz w:val="21"/>
                <w:szCs w:val="21"/>
              </w:rPr>
              <w:t>28</w:t>
            </w:r>
          </w:p>
        </w:tc>
        <w:tc>
          <w:tcPr>
            <w:tcW w:w="1985" w:type="dxa"/>
            <w:tcBorders>
              <w:top w:val="single" w:color="auto" w:sz="4" w:space="0"/>
              <w:left w:val="single" w:color="auto" w:sz="4" w:space="0"/>
              <w:bottom w:val="single" w:color="auto" w:sz="4" w:space="0"/>
              <w:right w:val="single" w:color="auto" w:sz="4" w:space="0"/>
            </w:tcBorders>
            <w:vAlign w:val="center"/>
          </w:tcPr>
          <w:p w14:paraId="3F03EB84">
            <w:pPr>
              <w:bidi w:val="0"/>
              <w:rPr>
                <w:rFonts w:hint="eastAsia" w:ascii="宋体" w:hAnsi="宋体" w:eastAsia="宋体" w:cs="宋体"/>
                <w:sz w:val="21"/>
                <w:szCs w:val="21"/>
              </w:rPr>
            </w:pPr>
            <w:r>
              <w:rPr>
                <w:rFonts w:hint="eastAsia" w:ascii="宋体" w:hAnsi="宋体" w:eastAsia="宋体" w:cs="宋体"/>
                <w:sz w:val="21"/>
                <w:szCs w:val="21"/>
              </w:rPr>
              <w:t>解释权</w:t>
            </w:r>
          </w:p>
        </w:tc>
        <w:tc>
          <w:tcPr>
            <w:tcW w:w="6179" w:type="dxa"/>
            <w:tcBorders>
              <w:top w:val="single" w:color="auto" w:sz="4" w:space="0"/>
              <w:left w:val="single" w:color="auto" w:sz="4" w:space="0"/>
              <w:bottom w:val="single" w:color="auto" w:sz="4" w:space="0"/>
              <w:right w:val="single" w:color="auto" w:sz="4" w:space="0"/>
            </w:tcBorders>
            <w:vAlign w:val="center"/>
          </w:tcPr>
          <w:p w14:paraId="7476F942">
            <w:pPr>
              <w:bidi w:val="0"/>
              <w:rPr>
                <w:rFonts w:hint="eastAsia" w:ascii="宋体" w:hAnsi="宋体" w:eastAsia="宋体" w:cs="宋体"/>
                <w:sz w:val="21"/>
                <w:szCs w:val="21"/>
              </w:rPr>
            </w:pPr>
            <w:r>
              <w:rPr>
                <w:rFonts w:hint="eastAsia" w:ascii="宋体" w:hAnsi="宋体" w:eastAsia="宋体" w:cs="宋体"/>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及代理机构负责解释。</w:t>
            </w:r>
          </w:p>
        </w:tc>
      </w:tr>
      <w:tr w14:paraId="5B3C289D">
        <w:tblPrEx>
          <w:tblCellMar>
            <w:top w:w="0" w:type="dxa"/>
            <w:left w:w="108" w:type="dxa"/>
            <w:bottom w:w="0" w:type="dxa"/>
            <w:right w:w="108" w:type="dxa"/>
          </w:tblCellMar>
        </w:tblPrEx>
        <w:trPr>
          <w:trHeight w:val="880"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746A1596">
            <w:pPr>
              <w:bidi w:val="0"/>
              <w:rPr>
                <w:rFonts w:hint="eastAsia" w:ascii="宋体" w:hAnsi="宋体" w:eastAsia="宋体" w:cs="宋体"/>
                <w:sz w:val="21"/>
                <w:szCs w:val="21"/>
              </w:rPr>
            </w:pPr>
            <w:r>
              <w:rPr>
                <w:rFonts w:hint="eastAsia" w:ascii="宋体" w:hAnsi="宋体" w:eastAsia="宋体" w:cs="宋体"/>
                <w:sz w:val="21"/>
                <w:szCs w:val="21"/>
              </w:rPr>
              <w:t>29</w:t>
            </w:r>
          </w:p>
        </w:tc>
        <w:tc>
          <w:tcPr>
            <w:tcW w:w="1985" w:type="dxa"/>
            <w:tcBorders>
              <w:top w:val="single" w:color="auto" w:sz="4" w:space="0"/>
              <w:left w:val="single" w:color="auto" w:sz="4" w:space="0"/>
              <w:bottom w:val="single" w:color="auto" w:sz="4" w:space="0"/>
              <w:right w:val="single" w:color="auto" w:sz="4" w:space="0"/>
            </w:tcBorders>
            <w:vAlign w:val="center"/>
          </w:tcPr>
          <w:p w14:paraId="5559CDA8">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代理服务费</w:t>
            </w:r>
          </w:p>
        </w:tc>
        <w:tc>
          <w:tcPr>
            <w:tcW w:w="6179" w:type="dxa"/>
            <w:tcBorders>
              <w:top w:val="single" w:color="auto" w:sz="4" w:space="0"/>
              <w:left w:val="single" w:color="auto" w:sz="4" w:space="0"/>
              <w:bottom w:val="single" w:color="auto" w:sz="4" w:space="0"/>
              <w:right w:val="single" w:color="auto" w:sz="4" w:space="0"/>
            </w:tcBorders>
            <w:vAlign w:val="center"/>
          </w:tcPr>
          <w:p w14:paraId="5A4C5C59">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投标人应在中标后向招标代理人支付招标代理服务费。此项费用由投标人综合考虑到投标报价中，不单独列项报价。中标人在领取中标通知书前，应参照河南省招标代理服务收费指导意见豫招协[2023]002号文件的规定向招标代理人足额缴纳招标代理服务费。金额为：</w:t>
            </w:r>
            <w:r>
              <w:rPr>
                <w:rFonts w:hint="eastAsia" w:ascii="宋体" w:hAnsi="宋体" w:eastAsia="宋体" w:cs="宋体"/>
                <w:b w:val="0"/>
                <w:bCs w:val="0"/>
                <w:sz w:val="21"/>
                <w:szCs w:val="21"/>
                <w:lang w:val="en-US" w:eastAsia="zh-CN"/>
              </w:rPr>
              <w:t>15900.00</w:t>
            </w:r>
            <w:r>
              <w:rPr>
                <w:rFonts w:hint="eastAsia" w:ascii="宋体" w:hAnsi="宋体" w:eastAsia="宋体" w:cs="宋体"/>
                <w:b w:val="0"/>
                <w:bCs w:val="0"/>
                <w:sz w:val="21"/>
                <w:szCs w:val="21"/>
              </w:rPr>
              <w:t>元</w:t>
            </w:r>
          </w:p>
        </w:tc>
      </w:tr>
      <w:tr w14:paraId="6CED71F6">
        <w:tblPrEx>
          <w:tblCellMar>
            <w:top w:w="0" w:type="dxa"/>
            <w:left w:w="108" w:type="dxa"/>
            <w:bottom w:w="0" w:type="dxa"/>
            <w:right w:w="108" w:type="dxa"/>
          </w:tblCellMar>
        </w:tblPrEx>
        <w:trPr>
          <w:trHeight w:val="880"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48AFCDB2">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1985" w:type="dxa"/>
            <w:tcBorders>
              <w:top w:val="single" w:color="auto" w:sz="4" w:space="0"/>
              <w:left w:val="single" w:color="auto" w:sz="4" w:space="0"/>
              <w:bottom w:val="single" w:color="auto" w:sz="4" w:space="0"/>
              <w:right w:val="single" w:color="auto" w:sz="4" w:space="0"/>
            </w:tcBorders>
            <w:vAlign w:val="center"/>
          </w:tcPr>
          <w:p w14:paraId="3BBE2C42">
            <w:pPr>
              <w:bidi w:val="0"/>
              <w:rPr>
                <w:rFonts w:hint="eastAsia" w:ascii="宋体" w:hAnsi="宋体" w:eastAsia="宋体" w:cs="宋体"/>
                <w:sz w:val="21"/>
                <w:szCs w:val="21"/>
              </w:rPr>
            </w:pPr>
            <w:r>
              <w:rPr>
                <w:rFonts w:hint="eastAsia" w:ascii="宋体" w:hAnsi="宋体" w:eastAsia="宋体" w:cs="宋体"/>
                <w:sz w:val="21"/>
                <w:szCs w:val="21"/>
              </w:rPr>
              <w:t>电子化投标注意事项（请认真阅读）</w:t>
            </w:r>
          </w:p>
        </w:tc>
        <w:tc>
          <w:tcPr>
            <w:tcW w:w="6179" w:type="dxa"/>
            <w:tcBorders>
              <w:top w:val="single" w:color="auto" w:sz="4" w:space="0"/>
              <w:left w:val="single" w:color="auto" w:sz="4" w:space="0"/>
              <w:bottom w:val="single" w:color="auto" w:sz="4" w:space="0"/>
              <w:right w:val="single" w:color="auto" w:sz="4" w:space="0"/>
            </w:tcBorders>
            <w:vAlign w:val="center"/>
          </w:tcPr>
          <w:p w14:paraId="66815BAA">
            <w:pPr>
              <w:bidi w:val="0"/>
              <w:rPr>
                <w:rFonts w:hint="eastAsia" w:ascii="宋体" w:hAnsi="宋体" w:eastAsia="宋体" w:cs="宋体"/>
                <w:sz w:val="21"/>
                <w:szCs w:val="21"/>
              </w:rPr>
            </w:pPr>
            <w:r>
              <w:rPr>
                <w:rFonts w:hint="eastAsia" w:ascii="宋体" w:hAnsi="宋体" w:eastAsia="宋体" w:cs="宋体"/>
                <w:sz w:val="21"/>
                <w:szCs w:val="21"/>
              </w:rPr>
              <w:t>本项目实行全流程电子化投标。</w:t>
            </w:r>
          </w:p>
          <w:p w14:paraId="54F6C825">
            <w:pPr>
              <w:bidi w:val="0"/>
              <w:rPr>
                <w:rFonts w:hint="eastAsia" w:ascii="宋体" w:hAnsi="宋体" w:eastAsia="宋体" w:cs="宋体"/>
                <w:sz w:val="21"/>
                <w:szCs w:val="21"/>
              </w:rPr>
            </w:pPr>
            <w:r>
              <w:rPr>
                <w:rFonts w:hint="eastAsia" w:ascii="宋体" w:hAnsi="宋体" w:eastAsia="宋体" w:cs="宋体"/>
                <w:sz w:val="21"/>
                <w:szCs w:val="21"/>
              </w:rPr>
              <w:t>电子化交易项目投标文件是投标人通过中心投标文件制作系统制作，并经过签章和加密后生成的电子版投标文件。（电子化投标文件具体制作教材请投标人通过CA证书登录公共资源电子化交易系统在右上角“组件下载”中查看）制作电子化投标文件，需仔细阅读以下条款。</w:t>
            </w:r>
          </w:p>
          <w:p w14:paraId="0916895E">
            <w:pPr>
              <w:bidi w:val="0"/>
              <w:rPr>
                <w:rFonts w:hint="eastAsia" w:ascii="宋体" w:hAnsi="宋体" w:eastAsia="宋体" w:cs="宋体"/>
                <w:sz w:val="21"/>
                <w:szCs w:val="21"/>
              </w:rPr>
            </w:pPr>
            <w:r>
              <w:rPr>
                <w:rFonts w:hint="eastAsia" w:ascii="宋体" w:hAnsi="宋体" w:eastAsia="宋体" w:cs="宋体"/>
                <w:sz w:val="21"/>
                <w:szCs w:val="21"/>
              </w:rPr>
              <w:t>一、电子化投标</w:t>
            </w:r>
          </w:p>
          <w:p w14:paraId="0E2836B0">
            <w:pPr>
              <w:bidi w:val="0"/>
              <w:rPr>
                <w:rFonts w:hint="eastAsia" w:ascii="宋体" w:hAnsi="宋体" w:eastAsia="宋体" w:cs="宋体"/>
                <w:sz w:val="21"/>
                <w:szCs w:val="21"/>
              </w:rPr>
            </w:pPr>
            <w:r>
              <w:rPr>
                <w:rFonts w:hint="eastAsia" w:ascii="宋体" w:hAnsi="宋体" w:eastAsia="宋体" w:cs="宋体"/>
                <w:sz w:val="21"/>
                <w:szCs w:val="21"/>
              </w:rPr>
              <w:t>（一）网上投标保证金的缴纳（不适用）</w:t>
            </w:r>
          </w:p>
          <w:p w14:paraId="1A09C651">
            <w:pPr>
              <w:bidi w:val="0"/>
              <w:rPr>
                <w:rFonts w:hint="eastAsia" w:ascii="宋体" w:hAnsi="宋体" w:eastAsia="宋体" w:cs="宋体"/>
                <w:sz w:val="21"/>
                <w:szCs w:val="21"/>
              </w:rPr>
            </w:pPr>
            <w:r>
              <w:rPr>
                <w:rFonts w:hint="eastAsia" w:ascii="宋体" w:hAnsi="宋体" w:eastAsia="宋体" w:cs="宋体"/>
                <w:sz w:val="21"/>
                <w:szCs w:val="21"/>
              </w:rPr>
              <w:t>（二）电子化投标文件的签章</w:t>
            </w:r>
          </w:p>
          <w:p w14:paraId="52FDFA94">
            <w:pPr>
              <w:bidi w:val="0"/>
              <w:rPr>
                <w:rFonts w:hint="eastAsia" w:ascii="宋体" w:hAnsi="宋体" w:eastAsia="宋体" w:cs="宋体"/>
                <w:sz w:val="21"/>
                <w:szCs w:val="21"/>
              </w:rPr>
            </w:pPr>
            <w:r>
              <w:rPr>
                <w:rFonts w:hint="eastAsia" w:ascii="宋体" w:hAnsi="宋体" w:eastAsia="宋体" w:cs="宋体"/>
                <w:sz w:val="21"/>
                <w:szCs w:val="21"/>
              </w:rPr>
              <w:t>1、投标人在生成电子化投标文件后，应对电子化投标文件进行签章，未进行签章的视为无效投标。</w:t>
            </w:r>
          </w:p>
          <w:p w14:paraId="027F2A92">
            <w:pPr>
              <w:bidi w:val="0"/>
              <w:rPr>
                <w:rFonts w:hint="eastAsia" w:ascii="宋体" w:hAnsi="宋体" w:eastAsia="宋体" w:cs="宋体"/>
                <w:sz w:val="21"/>
                <w:szCs w:val="21"/>
              </w:rPr>
            </w:pPr>
            <w:r>
              <w:rPr>
                <w:rFonts w:hint="eastAsia" w:ascii="宋体" w:hAnsi="宋体" w:eastAsia="宋体" w:cs="宋体"/>
                <w:sz w:val="21"/>
                <w:szCs w:val="21"/>
              </w:rPr>
              <w:t>2、招标文件中要求法定代表人或授权委托人电子签章的，投标人在进行电子化投标文件签章时，以签盖法定代表人签章为准。电子化投标文件具体制作教材请投标人通过CA证书登录平顶山市公共资源电子化交易系统在右上角“组建下载”中查看。</w:t>
            </w:r>
          </w:p>
          <w:p w14:paraId="6E8F1182">
            <w:pPr>
              <w:bidi w:val="0"/>
              <w:rPr>
                <w:rFonts w:hint="eastAsia" w:ascii="宋体" w:hAnsi="宋体" w:eastAsia="宋体" w:cs="宋体"/>
                <w:sz w:val="21"/>
                <w:szCs w:val="21"/>
              </w:rPr>
            </w:pPr>
            <w:r>
              <w:rPr>
                <w:rFonts w:hint="eastAsia" w:ascii="宋体" w:hAnsi="宋体" w:eastAsia="宋体" w:cs="宋体"/>
                <w:sz w:val="21"/>
                <w:szCs w:val="21"/>
              </w:rPr>
              <w:t>（三）电子化投标文件的格式及上传投标</w:t>
            </w:r>
          </w:p>
          <w:p w14:paraId="355D9287">
            <w:pPr>
              <w:bidi w:val="0"/>
              <w:rPr>
                <w:rFonts w:hint="eastAsia" w:ascii="宋体" w:hAnsi="宋体" w:eastAsia="宋体" w:cs="宋体"/>
                <w:sz w:val="21"/>
                <w:szCs w:val="21"/>
              </w:rPr>
            </w:pPr>
            <w:r>
              <w:rPr>
                <w:rFonts w:hint="eastAsia" w:ascii="宋体" w:hAnsi="宋体" w:eastAsia="宋体" w:cs="宋体"/>
                <w:sz w:val="21"/>
                <w:szCs w:val="21"/>
              </w:rPr>
              <w:t>1、投标人所上传的电子化投标文件，应是通过中心投标文件制作系统制作的，经过签章和加密后生成的电子版投标文件。生成的电子版投标文件包含用于投标文件上传的主文件（项目文件格式为：xxx公司_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项目名称.bin），备份文件主要用于电子化开标出现技术问题后的补救，请投标人随身携带。</w:t>
            </w:r>
          </w:p>
          <w:p w14:paraId="06748518">
            <w:pPr>
              <w:bidi w:val="0"/>
              <w:rPr>
                <w:rFonts w:hint="eastAsia" w:ascii="宋体" w:hAnsi="宋体" w:eastAsia="宋体" w:cs="宋体"/>
                <w:sz w:val="21"/>
                <w:szCs w:val="21"/>
              </w:rPr>
            </w:pPr>
            <w:r>
              <w:rPr>
                <w:rFonts w:hint="eastAsia" w:ascii="宋体" w:hAnsi="宋体" w:eastAsia="宋体" w:cs="宋体"/>
                <w:sz w:val="21"/>
                <w:szCs w:val="21"/>
              </w:rPr>
              <w:t>注：投标人投报多个标段的，根据标段制作各个标段的投标文件后上传</w:t>
            </w:r>
          </w:p>
          <w:p w14:paraId="5572238F">
            <w:pPr>
              <w:bidi w:val="0"/>
              <w:rPr>
                <w:rFonts w:hint="eastAsia" w:ascii="宋体" w:hAnsi="宋体" w:eastAsia="宋体" w:cs="宋体"/>
                <w:sz w:val="21"/>
                <w:szCs w:val="21"/>
              </w:rPr>
            </w:pPr>
            <w:r>
              <w:rPr>
                <w:rFonts w:hint="eastAsia" w:ascii="宋体" w:hAnsi="宋体" w:eastAsia="宋体" w:cs="宋体"/>
                <w:sz w:val="21"/>
                <w:szCs w:val="21"/>
              </w:rPr>
              <w:t>2、电子化投标文件应在投标截止时间前成功上传至平顶山市公共资源电子化交易系统。至投标截止时间止，仍未上传成功的电子化投标文件将不予接收。</w:t>
            </w:r>
          </w:p>
          <w:p w14:paraId="3296BE29">
            <w:pPr>
              <w:bidi w:val="0"/>
              <w:rPr>
                <w:rFonts w:hint="eastAsia" w:ascii="宋体" w:hAnsi="宋体" w:eastAsia="宋体" w:cs="宋体"/>
                <w:sz w:val="21"/>
                <w:szCs w:val="21"/>
              </w:rPr>
            </w:pPr>
            <w:r>
              <w:rPr>
                <w:rFonts w:hint="eastAsia" w:ascii="宋体" w:hAnsi="宋体" w:eastAsia="宋体" w:cs="宋体"/>
                <w:sz w:val="21"/>
                <w:szCs w:val="21"/>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36A0D59">
            <w:pPr>
              <w:bidi w:val="0"/>
              <w:rPr>
                <w:rFonts w:hint="eastAsia" w:ascii="宋体" w:hAnsi="宋体" w:eastAsia="宋体" w:cs="宋体"/>
                <w:sz w:val="21"/>
                <w:szCs w:val="21"/>
              </w:rPr>
            </w:pPr>
            <w:r>
              <w:rPr>
                <w:rFonts w:hint="eastAsia" w:ascii="宋体" w:hAnsi="宋体" w:eastAsia="宋体" w:cs="宋体"/>
                <w:sz w:val="21"/>
                <w:szCs w:val="21"/>
              </w:rPr>
              <w:t>（四）电子化项目开标、解密、唱标、评标</w:t>
            </w:r>
          </w:p>
          <w:p w14:paraId="5086F53F">
            <w:pPr>
              <w:bidi w:val="0"/>
              <w:rPr>
                <w:rFonts w:hint="eastAsia" w:ascii="宋体" w:hAnsi="宋体" w:eastAsia="宋体" w:cs="宋体"/>
                <w:sz w:val="21"/>
                <w:szCs w:val="21"/>
              </w:rPr>
            </w:pPr>
            <w:r>
              <w:rPr>
                <w:rFonts w:hint="eastAsia" w:ascii="宋体" w:hAnsi="宋体" w:eastAsia="宋体" w:cs="宋体"/>
                <w:sz w:val="21"/>
                <w:szCs w:val="21"/>
              </w:rPr>
              <w:t>1、电子化投标文件采用双重加密方式。开标时，首先由投标人使用CA证书，在规定时间内对其电子化投标文件进行首次解密，投标人解密完成后，再由中介服务机构使用CA证书对投标文件进行再次解密。</w:t>
            </w:r>
          </w:p>
          <w:p w14:paraId="50460CED">
            <w:pPr>
              <w:bidi w:val="0"/>
              <w:rPr>
                <w:rFonts w:hint="eastAsia" w:ascii="宋体" w:hAnsi="宋体" w:eastAsia="宋体" w:cs="宋体"/>
                <w:sz w:val="21"/>
                <w:szCs w:val="21"/>
              </w:rPr>
            </w:pPr>
            <w:r>
              <w:rPr>
                <w:rFonts w:hint="eastAsia" w:ascii="宋体" w:hAnsi="宋体" w:eastAsia="宋体" w:cs="宋体"/>
                <w:sz w:val="21"/>
                <w:szCs w:val="21"/>
              </w:rPr>
              <w:t>2、电子化投标文件解密异常的处理</w:t>
            </w:r>
          </w:p>
          <w:p w14:paraId="3F030E3D">
            <w:pPr>
              <w:bidi w:val="0"/>
              <w:rPr>
                <w:rFonts w:hint="eastAsia" w:ascii="宋体" w:hAnsi="宋体" w:eastAsia="宋体" w:cs="宋体"/>
                <w:sz w:val="21"/>
                <w:szCs w:val="21"/>
              </w:rPr>
            </w:pPr>
            <w:r>
              <w:rPr>
                <w:rFonts w:hint="eastAsia" w:ascii="宋体" w:hAnsi="宋体" w:eastAsia="宋体" w:cs="宋体"/>
                <w:sz w:val="21"/>
                <w:szCs w:val="21"/>
              </w:rPr>
              <w:t>如出现投标人的电子投标文件无法解密的情况，投标人应及时联系中介服务机构说明。投标文件解密异常，按以下步骤进行处理：</w:t>
            </w:r>
          </w:p>
          <w:p w14:paraId="6205D4C9">
            <w:pPr>
              <w:bidi w:val="0"/>
              <w:rPr>
                <w:rFonts w:hint="eastAsia" w:ascii="宋体" w:hAnsi="宋体" w:eastAsia="宋体" w:cs="宋体"/>
                <w:sz w:val="21"/>
                <w:szCs w:val="21"/>
              </w:rPr>
            </w:pPr>
            <w:r>
              <w:rPr>
                <w:rFonts w:hint="eastAsia" w:ascii="宋体" w:hAnsi="宋体" w:eastAsia="宋体" w:cs="宋体"/>
                <w:sz w:val="21"/>
                <w:szCs w:val="21"/>
              </w:rPr>
              <w:t>（1）首先由技术人员进行问题排查。</w:t>
            </w:r>
          </w:p>
          <w:p w14:paraId="79550F83">
            <w:pPr>
              <w:bidi w:val="0"/>
              <w:rPr>
                <w:rFonts w:hint="eastAsia" w:ascii="宋体" w:hAnsi="宋体" w:eastAsia="宋体" w:cs="宋体"/>
                <w:sz w:val="21"/>
                <w:szCs w:val="21"/>
              </w:rPr>
            </w:pPr>
            <w:r>
              <w:rPr>
                <w:rFonts w:hint="eastAsia" w:ascii="宋体" w:hAnsi="宋体" w:eastAsia="宋体" w:cs="宋体"/>
                <w:sz w:val="21"/>
                <w:szCs w:val="21"/>
              </w:rPr>
              <w:t>（2）经技术人员排查后，是投标人文件自身问题导致投标文件无法解密的，该投标文件将不予接收、解密和唱标，开标会议继续进行。</w:t>
            </w:r>
          </w:p>
          <w:p w14:paraId="38CFD236">
            <w:pPr>
              <w:bidi w:val="0"/>
              <w:rPr>
                <w:rFonts w:hint="eastAsia" w:ascii="宋体" w:hAnsi="宋体" w:eastAsia="宋体" w:cs="宋体"/>
                <w:sz w:val="21"/>
                <w:szCs w:val="21"/>
              </w:rPr>
            </w:pPr>
            <w:r>
              <w:rPr>
                <w:rFonts w:hint="eastAsia" w:ascii="宋体" w:hAnsi="宋体" w:eastAsia="宋体" w:cs="宋体"/>
                <w:sz w:val="21"/>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F2FBC23">
            <w:pPr>
              <w:bidi w:val="0"/>
              <w:rPr>
                <w:rFonts w:hint="eastAsia" w:ascii="宋体" w:hAnsi="宋体" w:eastAsia="宋体" w:cs="宋体"/>
                <w:sz w:val="21"/>
                <w:szCs w:val="21"/>
              </w:rPr>
            </w:pPr>
            <w:r>
              <w:rPr>
                <w:rFonts w:hint="eastAsia" w:ascii="宋体" w:hAnsi="宋体" w:eastAsia="宋体" w:cs="宋体"/>
                <w:sz w:val="21"/>
                <w:szCs w:val="21"/>
              </w:rPr>
              <w:t>3、待所有投标人投标文件解密完成后，由中介服务机构操作，对所有已解密投标文件进行唱标。</w:t>
            </w:r>
          </w:p>
          <w:p w14:paraId="44C9055B">
            <w:pPr>
              <w:bidi w:val="0"/>
              <w:rPr>
                <w:rFonts w:hint="eastAsia" w:ascii="宋体" w:hAnsi="宋体" w:eastAsia="宋体" w:cs="宋体"/>
                <w:sz w:val="21"/>
                <w:szCs w:val="21"/>
              </w:rPr>
            </w:pPr>
            <w:r>
              <w:rPr>
                <w:rFonts w:hint="eastAsia" w:ascii="宋体" w:hAnsi="宋体" w:eastAsia="宋体" w:cs="宋体"/>
                <w:sz w:val="21"/>
                <w:szCs w:val="21"/>
              </w:rPr>
              <w:t>4、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473D9D1A">
            <w:pPr>
              <w:bidi w:val="0"/>
              <w:rPr>
                <w:rFonts w:hint="eastAsia" w:ascii="宋体" w:hAnsi="宋体" w:eastAsia="宋体" w:cs="宋体"/>
                <w:sz w:val="21"/>
                <w:szCs w:val="21"/>
              </w:rPr>
            </w:pPr>
            <w:r>
              <w:rPr>
                <w:rFonts w:hint="eastAsia" w:ascii="宋体" w:hAnsi="宋体" w:eastAsia="宋体" w:cs="宋体"/>
                <w:sz w:val="21"/>
                <w:szCs w:val="21"/>
              </w:rPr>
              <w:t>5、如评标委员会对需要回复的投标人回复内容有异议的，经过几次回复仍不清楚的，需在监督下进行免提电话进行质疑。</w:t>
            </w:r>
          </w:p>
          <w:p w14:paraId="111DCEA9">
            <w:pPr>
              <w:bidi w:val="0"/>
              <w:rPr>
                <w:rFonts w:hint="eastAsia" w:ascii="宋体" w:hAnsi="宋体" w:eastAsia="宋体" w:cs="宋体"/>
                <w:sz w:val="21"/>
                <w:szCs w:val="21"/>
              </w:rPr>
            </w:pPr>
            <w:r>
              <w:rPr>
                <w:rFonts w:hint="eastAsia" w:ascii="宋体" w:hAnsi="宋体" w:eastAsia="宋体" w:cs="宋体"/>
                <w:sz w:val="21"/>
                <w:szCs w:val="21"/>
              </w:rPr>
              <w:t>6、评标时如因系统异常、停电、电脑病毒、网络堵塞等原因无法正常进行的，由技术人员排查解决，短时间无法解决的，经监督部门同意后，暂停评标活动，待问题解决后继续评标。</w:t>
            </w:r>
          </w:p>
        </w:tc>
      </w:tr>
      <w:tr w14:paraId="0E96AF79">
        <w:tblPrEx>
          <w:tblCellMar>
            <w:top w:w="0" w:type="dxa"/>
            <w:left w:w="108" w:type="dxa"/>
            <w:bottom w:w="0" w:type="dxa"/>
            <w:right w:w="108" w:type="dxa"/>
          </w:tblCellMar>
        </w:tblPrEx>
        <w:trPr>
          <w:trHeight w:val="880"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60797C48">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1985" w:type="dxa"/>
            <w:tcBorders>
              <w:top w:val="single" w:color="auto" w:sz="4" w:space="0"/>
              <w:left w:val="single" w:color="auto" w:sz="4" w:space="0"/>
              <w:bottom w:val="single" w:color="auto" w:sz="4" w:space="0"/>
              <w:right w:val="single" w:color="auto" w:sz="4" w:space="0"/>
            </w:tcBorders>
            <w:vAlign w:val="center"/>
          </w:tcPr>
          <w:p w14:paraId="6D278066">
            <w:pPr>
              <w:bidi w:val="0"/>
              <w:rPr>
                <w:rFonts w:hint="eastAsia" w:ascii="宋体" w:hAnsi="宋体" w:eastAsia="宋体" w:cs="宋体"/>
                <w:b/>
                <w:bCs/>
                <w:sz w:val="21"/>
                <w:szCs w:val="21"/>
              </w:rPr>
            </w:pPr>
            <w:r>
              <w:rPr>
                <w:rFonts w:hint="eastAsia" w:ascii="宋体" w:hAnsi="宋体" w:eastAsia="宋体" w:cs="宋体"/>
                <w:b/>
                <w:bCs/>
                <w:sz w:val="21"/>
                <w:szCs w:val="21"/>
              </w:rPr>
              <w:t>其他注意事项</w:t>
            </w:r>
          </w:p>
        </w:tc>
        <w:tc>
          <w:tcPr>
            <w:tcW w:w="6179" w:type="dxa"/>
            <w:tcBorders>
              <w:top w:val="single" w:color="auto" w:sz="4" w:space="0"/>
              <w:left w:val="single" w:color="auto" w:sz="4" w:space="0"/>
              <w:bottom w:val="single" w:color="auto" w:sz="4" w:space="0"/>
              <w:right w:val="single" w:color="auto" w:sz="4" w:space="0"/>
            </w:tcBorders>
            <w:vAlign w:val="center"/>
          </w:tcPr>
          <w:p w14:paraId="7ACC3B4A">
            <w:pPr>
              <w:bidi w:val="0"/>
              <w:rPr>
                <w:rFonts w:hint="eastAsia" w:ascii="宋体" w:hAnsi="宋体" w:eastAsia="宋体" w:cs="宋体"/>
                <w:b/>
                <w:bCs/>
                <w:sz w:val="21"/>
                <w:szCs w:val="21"/>
              </w:rPr>
            </w:pPr>
            <w:r>
              <w:rPr>
                <w:rFonts w:hint="eastAsia" w:ascii="宋体" w:hAnsi="宋体" w:eastAsia="宋体" w:cs="宋体"/>
                <w:b/>
                <w:bCs/>
                <w:sz w:val="21"/>
                <w:szCs w:val="21"/>
              </w:rPr>
              <w:t>参与同一个标段(包)的投标人存在下列情形之一的，其投标(响应)文件无效:</w:t>
            </w:r>
          </w:p>
          <w:p w14:paraId="579E0F79">
            <w:pPr>
              <w:bidi w:val="0"/>
              <w:rPr>
                <w:rFonts w:hint="eastAsia" w:ascii="宋体" w:hAnsi="宋体" w:eastAsia="宋体" w:cs="宋体"/>
                <w:b/>
                <w:bCs/>
                <w:sz w:val="21"/>
                <w:szCs w:val="21"/>
              </w:rPr>
            </w:pPr>
            <w:r>
              <w:rPr>
                <w:rFonts w:hint="eastAsia" w:ascii="宋体" w:hAnsi="宋体" w:eastAsia="宋体" w:cs="宋体"/>
                <w:b/>
                <w:bCs/>
                <w:sz w:val="21"/>
                <w:szCs w:val="21"/>
              </w:rPr>
              <w:t>(一)不同投标人的电子投标(响应)文件上传计算机的网卡MAC地址、CPU序列号和硬盘序列号等硬件信息相同的:</w:t>
            </w:r>
          </w:p>
          <w:p w14:paraId="1D8DDADB">
            <w:pPr>
              <w:bidi w:val="0"/>
              <w:rPr>
                <w:rFonts w:hint="eastAsia" w:ascii="宋体" w:hAnsi="宋体" w:eastAsia="宋体" w:cs="宋体"/>
                <w:b/>
                <w:bCs/>
                <w:sz w:val="21"/>
                <w:szCs w:val="21"/>
              </w:rPr>
            </w:pPr>
            <w:r>
              <w:rPr>
                <w:rFonts w:hint="eastAsia" w:ascii="宋体" w:hAnsi="宋体" w:eastAsia="宋体" w:cs="宋体"/>
                <w:b/>
                <w:bCs/>
                <w:sz w:val="21"/>
                <w:szCs w:val="21"/>
              </w:rPr>
              <w:t>(二)不同投标人的投标(响应)文件由同一电子设备编制、打印加密或者上传;</w:t>
            </w:r>
          </w:p>
          <w:p w14:paraId="5C846030">
            <w:pPr>
              <w:bidi w:val="0"/>
              <w:rPr>
                <w:rFonts w:hint="eastAsia" w:ascii="宋体" w:hAnsi="宋体" w:eastAsia="宋体" w:cs="宋体"/>
                <w:b/>
                <w:bCs/>
                <w:sz w:val="21"/>
                <w:szCs w:val="21"/>
              </w:rPr>
            </w:pPr>
            <w:r>
              <w:rPr>
                <w:rFonts w:hint="eastAsia" w:ascii="宋体" w:hAnsi="宋体" w:eastAsia="宋体" w:cs="宋体"/>
                <w:b/>
                <w:bCs/>
                <w:sz w:val="21"/>
                <w:szCs w:val="21"/>
              </w:rPr>
              <w:t>(三)不同投标人的投标(响应)文件由同一电子设备打印、复印;</w:t>
            </w:r>
          </w:p>
          <w:p w14:paraId="5FB5520C">
            <w:pPr>
              <w:bidi w:val="0"/>
              <w:rPr>
                <w:rFonts w:hint="eastAsia" w:ascii="宋体" w:hAnsi="宋体" w:eastAsia="宋体" w:cs="宋体"/>
                <w:b/>
                <w:bCs/>
                <w:sz w:val="21"/>
                <w:szCs w:val="21"/>
              </w:rPr>
            </w:pPr>
            <w:r>
              <w:rPr>
                <w:rFonts w:hint="eastAsia" w:ascii="宋体" w:hAnsi="宋体" w:eastAsia="宋体" w:cs="宋体"/>
                <w:b/>
                <w:bCs/>
                <w:sz w:val="21"/>
                <w:szCs w:val="21"/>
              </w:rPr>
              <w:t>(四)不同投标人的投标(响应)文件由同一人送达或者分发，或者不同投标人联系人为同一人或不同联系人的联系电话一致的;</w:t>
            </w:r>
          </w:p>
          <w:p w14:paraId="24DF8928">
            <w:pPr>
              <w:bidi w:val="0"/>
              <w:rPr>
                <w:rFonts w:hint="eastAsia" w:ascii="宋体" w:hAnsi="宋体" w:eastAsia="宋体" w:cs="宋体"/>
                <w:b/>
                <w:bCs/>
                <w:sz w:val="21"/>
                <w:szCs w:val="21"/>
              </w:rPr>
            </w:pPr>
            <w:r>
              <w:rPr>
                <w:rFonts w:hint="eastAsia" w:ascii="宋体" w:hAnsi="宋体" w:eastAsia="宋体" w:cs="宋体"/>
                <w:b/>
                <w:bCs/>
                <w:sz w:val="21"/>
                <w:szCs w:val="21"/>
              </w:rPr>
              <w:t>(五)不同投标人的投标(响应)文件的内容存在两处以上细节错误一致;</w:t>
            </w:r>
          </w:p>
          <w:p w14:paraId="2A8C8705">
            <w:pPr>
              <w:bidi w:val="0"/>
              <w:rPr>
                <w:rFonts w:hint="eastAsia" w:ascii="宋体" w:hAnsi="宋体" w:eastAsia="宋体" w:cs="宋体"/>
                <w:b/>
                <w:bCs/>
                <w:sz w:val="21"/>
                <w:szCs w:val="21"/>
              </w:rPr>
            </w:pPr>
            <w:r>
              <w:rPr>
                <w:rFonts w:hint="eastAsia" w:ascii="宋体" w:hAnsi="宋体" w:eastAsia="宋体" w:cs="宋体"/>
                <w:b/>
                <w:bCs/>
                <w:sz w:val="21"/>
                <w:szCs w:val="21"/>
              </w:rPr>
              <w:t>(六)不同投标人的法定代表人、委托代理人、项目经理、项目负责人等由同一个单位缴纳社会保险或者领取报酬的;</w:t>
            </w:r>
          </w:p>
          <w:p w14:paraId="5D2EAD04">
            <w:pPr>
              <w:bidi w:val="0"/>
              <w:rPr>
                <w:rFonts w:hint="eastAsia" w:ascii="宋体" w:hAnsi="宋体" w:eastAsia="宋体" w:cs="宋体"/>
                <w:b/>
                <w:bCs/>
                <w:sz w:val="21"/>
                <w:szCs w:val="21"/>
              </w:rPr>
            </w:pPr>
            <w:r>
              <w:rPr>
                <w:rFonts w:hint="eastAsia" w:ascii="宋体" w:hAnsi="宋体" w:eastAsia="宋体" w:cs="宋体"/>
                <w:b/>
                <w:bCs/>
                <w:sz w:val="21"/>
                <w:szCs w:val="21"/>
              </w:rPr>
              <w:t>(七)不同投标人投标(响应)文件中法定代表人或者负责人签字出自同一人之手;</w:t>
            </w:r>
          </w:p>
          <w:p w14:paraId="1C3E239E">
            <w:pPr>
              <w:bidi w:val="0"/>
              <w:rPr>
                <w:rFonts w:hint="eastAsia" w:ascii="宋体" w:hAnsi="宋体" w:eastAsia="宋体" w:cs="宋体"/>
                <w:b/>
                <w:bCs/>
                <w:sz w:val="21"/>
                <w:szCs w:val="21"/>
              </w:rPr>
            </w:pPr>
            <w:r>
              <w:rPr>
                <w:rFonts w:hint="eastAsia" w:ascii="宋体" w:hAnsi="宋体" w:eastAsia="宋体" w:cs="宋体"/>
                <w:b/>
                <w:bCs/>
                <w:sz w:val="21"/>
                <w:szCs w:val="21"/>
              </w:rPr>
              <w:t>(八)其它涉嫌串通的情形。</w:t>
            </w:r>
          </w:p>
        </w:tc>
      </w:tr>
      <w:tr w14:paraId="4B9EDBE3">
        <w:tblPrEx>
          <w:tblCellMar>
            <w:top w:w="0" w:type="dxa"/>
            <w:left w:w="108" w:type="dxa"/>
            <w:bottom w:w="0" w:type="dxa"/>
            <w:right w:w="108" w:type="dxa"/>
          </w:tblCellMar>
        </w:tblPrEx>
        <w:trPr>
          <w:trHeight w:val="1550"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45EFE3E8">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1985" w:type="dxa"/>
            <w:tcBorders>
              <w:top w:val="single" w:color="auto" w:sz="4" w:space="0"/>
              <w:left w:val="single" w:color="auto" w:sz="4" w:space="0"/>
              <w:bottom w:val="single" w:color="auto" w:sz="4" w:space="0"/>
              <w:right w:val="single" w:color="auto" w:sz="4" w:space="0"/>
            </w:tcBorders>
            <w:vAlign w:val="center"/>
          </w:tcPr>
          <w:p w14:paraId="22E2B927">
            <w:pPr>
              <w:bidi w:val="0"/>
              <w:rPr>
                <w:rFonts w:hint="eastAsia" w:ascii="宋体" w:hAnsi="宋体" w:eastAsia="宋体" w:cs="宋体"/>
                <w:sz w:val="21"/>
                <w:szCs w:val="21"/>
              </w:rPr>
            </w:pPr>
            <w:r>
              <w:rPr>
                <w:rFonts w:hint="eastAsia" w:ascii="宋体" w:hAnsi="宋体" w:eastAsia="宋体" w:cs="宋体"/>
                <w:sz w:val="21"/>
                <w:szCs w:val="21"/>
              </w:rPr>
              <w:t>政采领域优化营商环境相关政策</w:t>
            </w:r>
          </w:p>
        </w:tc>
        <w:tc>
          <w:tcPr>
            <w:tcW w:w="6179" w:type="dxa"/>
            <w:tcBorders>
              <w:top w:val="single" w:color="auto" w:sz="4" w:space="0"/>
              <w:left w:val="single" w:color="auto" w:sz="4" w:space="0"/>
              <w:bottom w:val="single" w:color="auto" w:sz="4" w:space="0"/>
              <w:right w:val="single" w:color="auto" w:sz="4" w:space="0"/>
            </w:tcBorders>
            <w:vAlign w:val="center"/>
          </w:tcPr>
          <w:p w14:paraId="77DA7970">
            <w:pPr>
              <w:bidi w:val="0"/>
              <w:rPr>
                <w:rFonts w:hint="eastAsia" w:ascii="宋体" w:hAnsi="宋体" w:eastAsia="宋体" w:cs="宋体"/>
                <w:sz w:val="21"/>
                <w:szCs w:val="21"/>
              </w:rPr>
            </w:pPr>
            <w:r>
              <w:rPr>
                <w:rFonts w:hint="eastAsia" w:ascii="宋体" w:hAnsi="宋体" w:eastAsia="宋体" w:cs="宋体"/>
                <w:sz w:val="21"/>
                <w:szCs w:val="21"/>
              </w:rPr>
              <w:t>一、落实四个“一日办”精神：</w:t>
            </w:r>
          </w:p>
          <w:p w14:paraId="65E66A06">
            <w:pPr>
              <w:bidi w:val="0"/>
              <w:rPr>
                <w:rFonts w:hint="eastAsia" w:ascii="宋体" w:hAnsi="宋体" w:eastAsia="宋体" w:cs="宋体"/>
                <w:sz w:val="21"/>
                <w:szCs w:val="21"/>
              </w:rPr>
            </w:pPr>
            <w:r>
              <w:rPr>
                <w:rFonts w:hint="eastAsia" w:ascii="宋体" w:hAnsi="宋体" w:eastAsia="宋体" w:cs="宋体"/>
                <w:sz w:val="21"/>
                <w:szCs w:val="21"/>
              </w:rPr>
              <w:t>按照《平顶山市财政局关于压减政府采购各环节时限 进一步优化政府采购营商环境的通知》（平财购〔2021〕34号）通知，落实四个“一日办”精神：</w:t>
            </w:r>
          </w:p>
          <w:p w14:paraId="484A3026">
            <w:pPr>
              <w:bidi w:val="0"/>
              <w:rPr>
                <w:rFonts w:hint="eastAsia" w:ascii="宋体" w:hAnsi="宋体" w:eastAsia="宋体" w:cs="宋体"/>
                <w:sz w:val="21"/>
                <w:szCs w:val="21"/>
              </w:rPr>
            </w:pPr>
            <w:r>
              <w:rPr>
                <w:rFonts w:hint="eastAsia" w:ascii="宋体" w:hAnsi="宋体" w:eastAsia="宋体" w:cs="宋体"/>
                <w:sz w:val="21"/>
                <w:szCs w:val="21"/>
              </w:rPr>
              <w:t>（1）在评审结束后1日内确定采购结果，同时对中标单位发出中标或成交通知书，并在网上进行公告；</w:t>
            </w:r>
          </w:p>
          <w:p w14:paraId="0C9A59F2">
            <w:pPr>
              <w:bidi w:val="0"/>
              <w:rPr>
                <w:rFonts w:hint="eastAsia" w:ascii="宋体" w:hAnsi="宋体" w:eastAsia="宋体" w:cs="宋体"/>
                <w:sz w:val="21"/>
                <w:szCs w:val="21"/>
              </w:rPr>
            </w:pPr>
            <w:r>
              <w:rPr>
                <w:rFonts w:hint="eastAsia" w:ascii="宋体" w:hAnsi="宋体" w:eastAsia="宋体" w:cs="宋体"/>
                <w:sz w:val="21"/>
                <w:szCs w:val="21"/>
              </w:rPr>
              <w:t>（2）中标或成交通知书发出后，1日内与中标或成交供应商签订合同，合同签订当日完成合同备案工作；</w:t>
            </w:r>
          </w:p>
          <w:p w14:paraId="0BD2428C">
            <w:pPr>
              <w:bidi w:val="0"/>
              <w:rPr>
                <w:rFonts w:hint="eastAsia" w:ascii="宋体" w:hAnsi="宋体" w:eastAsia="宋体" w:cs="宋体"/>
                <w:sz w:val="21"/>
                <w:szCs w:val="21"/>
              </w:rPr>
            </w:pPr>
            <w:r>
              <w:rPr>
                <w:rFonts w:hint="eastAsia" w:ascii="宋体" w:hAnsi="宋体" w:eastAsia="宋体" w:cs="宋体"/>
                <w:sz w:val="21"/>
                <w:szCs w:val="21"/>
              </w:rPr>
              <w:t>（3）政府采购项目供应商履约完成后，采购人应在供应商提出验收申请1个工作日内完成验收，同时在平顶山市政府采购网发布验收结果公告；</w:t>
            </w:r>
          </w:p>
          <w:p w14:paraId="40C309B9">
            <w:pPr>
              <w:bidi w:val="0"/>
              <w:rPr>
                <w:rFonts w:hint="eastAsia" w:ascii="宋体" w:hAnsi="宋体" w:eastAsia="宋体" w:cs="宋体"/>
                <w:sz w:val="21"/>
                <w:szCs w:val="21"/>
              </w:rPr>
            </w:pPr>
            <w:r>
              <w:rPr>
                <w:rFonts w:hint="eastAsia" w:ascii="宋体" w:hAnsi="宋体" w:eastAsia="宋体" w:cs="宋体"/>
                <w:sz w:val="21"/>
                <w:szCs w:val="21"/>
              </w:rPr>
              <w:t>（4）验收合格具备付款条件的项目，采购人要在1个工作日内按照合同约定支付项目资金。</w:t>
            </w:r>
          </w:p>
          <w:p w14:paraId="572B0B50">
            <w:pPr>
              <w:bidi w:val="0"/>
              <w:rPr>
                <w:rFonts w:hint="eastAsia" w:ascii="宋体" w:hAnsi="宋体" w:eastAsia="宋体" w:cs="宋体"/>
                <w:sz w:val="21"/>
                <w:szCs w:val="21"/>
              </w:rPr>
            </w:pPr>
            <w:r>
              <w:rPr>
                <w:rFonts w:hint="eastAsia" w:ascii="宋体" w:hAnsi="宋体" w:eastAsia="宋体" w:cs="宋体"/>
                <w:sz w:val="21"/>
                <w:szCs w:val="21"/>
              </w:rPr>
              <w:t>二、维护企业在政府采购活动中的知情权</w:t>
            </w:r>
          </w:p>
          <w:p w14:paraId="67782340">
            <w:pPr>
              <w:bidi w:val="0"/>
              <w:rPr>
                <w:rFonts w:hint="eastAsia" w:ascii="宋体" w:hAnsi="宋体" w:eastAsia="宋体" w:cs="宋体"/>
                <w:sz w:val="21"/>
                <w:szCs w:val="21"/>
              </w:rPr>
            </w:pPr>
            <w:r>
              <w:rPr>
                <w:rFonts w:hint="eastAsia" w:ascii="宋体" w:hAnsi="宋体" w:eastAsia="宋体" w:cs="宋体"/>
                <w:sz w:val="21"/>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5C4A8A1C">
            <w:pPr>
              <w:bidi w:val="0"/>
              <w:rPr>
                <w:rFonts w:hint="eastAsia" w:ascii="宋体" w:hAnsi="宋体" w:eastAsia="宋体" w:cs="宋体"/>
                <w:sz w:val="21"/>
                <w:szCs w:val="21"/>
              </w:rPr>
            </w:pPr>
            <w:r>
              <w:rPr>
                <w:rFonts w:hint="eastAsia" w:ascii="宋体" w:hAnsi="宋体" w:eastAsia="宋体" w:cs="宋体"/>
                <w:sz w:val="21"/>
                <w:szCs w:val="21"/>
              </w:rPr>
              <w:t>三、提供中小企业声明函格式</w:t>
            </w:r>
          </w:p>
          <w:p w14:paraId="4417C671">
            <w:pPr>
              <w:bidi w:val="0"/>
              <w:rPr>
                <w:rFonts w:hint="eastAsia" w:ascii="宋体" w:hAnsi="宋体" w:eastAsia="宋体" w:cs="宋体"/>
                <w:sz w:val="21"/>
                <w:szCs w:val="21"/>
              </w:rPr>
            </w:pPr>
            <w:r>
              <w:rPr>
                <w:rFonts w:hint="eastAsia" w:ascii="宋体" w:hAnsi="宋体" w:eastAsia="宋体" w:cs="宋体"/>
                <w:sz w:val="21"/>
                <w:szCs w:val="21"/>
              </w:rPr>
              <w:t>在采购文件中，采购代理机构应按照财政部、工信部印发的《政府采购促进中小企业发展管理办法》的通知精神（财库〔2020〕46号）提供中小企业声明函格式。</w:t>
            </w:r>
          </w:p>
          <w:p w14:paraId="74AA7B90">
            <w:pPr>
              <w:bidi w:val="0"/>
              <w:rPr>
                <w:rFonts w:hint="eastAsia" w:ascii="宋体" w:hAnsi="宋体" w:eastAsia="宋体" w:cs="宋体"/>
                <w:sz w:val="21"/>
                <w:szCs w:val="21"/>
              </w:rPr>
            </w:pPr>
            <w:r>
              <w:rPr>
                <w:rFonts w:hint="eastAsia" w:ascii="宋体" w:hAnsi="宋体" w:eastAsia="宋体" w:cs="宋体"/>
                <w:sz w:val="21"/>
                <w:szCs w:val="21"/>
              </w:rPr>
              <w:t>根据《政府采购促进中小企业发展管理办法》（财库〔2020〕46号）第四条：在政府采购活动中，供应商提供的货物、工程或者服务符合下列情形的，享受本办法规定的中小企业扶持政策：</w:t>
            </w:r>
          </w:p>
          <w:p w14:paraId="66FC44BC">
            <w:pPr>
              <w:bidi w:val="0"/>
              <w:rPr>
                <w:rFonts w:hint="eastAsia" w:ascii="宋体" w:hAnsi="宋体" w:eastAsia="宋体" w:cs="宋体"/>
                <w:sz w:val="21"/>
                <w:szCs w:val="21"/>
              </w:rPr>
            </w:pPr>
            <w:r>
              <w:rPr>
                <w:rFonts w:hint="eastAsia" w:ascii="宋体" w:hAnsi="宋体" w:eastAsia="宋体" w:cs="宋体"/>
                <w:sz w:val="21"/>
                <w:szCs w:val="21"/>
              </w:rPr>
              <w:t>（一）在货物采购项目中，货物由中小企业制造，即货物由中小企业生产且使用该中小企业商号或者注册商标；</w:t>
            </w:r>
          </w:p>
          <w:p w14:paraId="1015513C">
            <w:pPr>
              <w:bidi w:val="0"/>
              <w:rPr>
                <w:rFonts w:hint="eastAsia" w:ascii="宋体" w:hAnsi="宋体" w:eastAsia="宋体" w:cs="宋体"/>
                <w:sz w:val="21"/>
                <w:szCs w:val="21"/>
              </w:rPr>
            </w:pPr>
            <w:r>
              <w:rPr>
                <w:rFonts w:hint="eastAsia" w:ascii="宋体" w:hAnsi="宋体" w:eastAsia="宋体" w:cs="宋体"/>
                <w:sz w:val="21"/>
                <w:szCs w:val="21"/>
              </w:rPr>
              <w:t>（二）在工程采购项目中，工程由中小企业承建，即工程施工单位为中小企业；</w:t>
            </w:r>
          </w:p>
          <w:p w14:paraId="18E49D9F">
            <w:pPr>
              <w:bidi w:val="0"/>
              <w:rPr>
                <w:rFonts w:hint="eastAsia" w:ascii="宋体" w:hAnsi="宋体" w:eastAsia="宋体" w:cs="宋体"/>
                <w:sz w:val="21"/>
                <w:szCs w:val="21"/>
              </w:rPr>
            </w:pPr>
            <w:r>
              <w:rPr>
                <w:rFonts w:hint="eastAsia" w:ascii="宋体" w:hAnsi="宋体" w:eastAsia="宋体" w:cs="宋体"/>
                <w:sz w:val="21"/>
                <w:szCs w:val="21"/>
              </w:rPr>
              <w:t>（三）在服务采购项目中，服务由中小企业承接，即提供服务的人员为中小企业依照《中华人民共和国劳动合同法》订立劳动合同的从业人员。</w:t>
            </w:r>
          </w:p>
          <w:p w14:paraId="30B9BBE0">
            <w:pPr>
              <w:bidi w:val="0"/>
              <w:rPr>
                <w:rFonts w:hint="eastAsia" w:ascii="宋体" w:hAnsi="宋体" w:eastAsia="宋体" w:cs="宋体"/>
                <w:sz w:val="21"/>
                <w:szCs w:val="21"/>
              </w:rPr>
            </w:pPr>
            <w:r>
              <w:rPr>
                <w:rFonts w:hint="eastAsia" w:ascii="宋体" w:hAnsi="宋体" w:eastAsia="宋体" w:cs="宋体"/>
                <w:sz w:val="21"/>
                <w:szCs w:val="21"/>
              </w:rPr>
              <w:t>在货物采购项目中，供应商提供的货物既有中小企业制造货物，也有大型企业制造货物的，不享受本办法规定的中小企业扶持政策。</w:t>
            </w:r>
          </w:p>
          <w:p w14:paraId="111CDDC1">
            <w:pPr>
              <w:bidi w:val="0"/>
              <w:rPr>
                <w:rFonts w:hint="eastAsia" w:ascii="宋体" w:hAnsi="宋体" w:eastAsia="宋体" w:cs="宋体"/>
                <w:sz w:val="21"/>
                <w:szCs w:val="21"/>
              </w:rPr>
            </w:pPr>
            <w:r>
              <w:rPr>
                <w:rFonts w:hint="eastAsia" w:ascii="宋体" w:hAnsi="宋体" w:eastAsia="宋体" w:cs="宋体"/>
                <w:sz w:val="21"/>
                <w:szCs w:val="21"/>
              </w:rPr>
              <w:t>以联合体形式参加政府采购活动，联合体各方均为中小企业的，联合体视同中小企业。其中，联合体各方均为小微企业的，联合体视同小微企业。</w:t>
            </w:r>
          </w:p>
          <w:p w14:paraId="0CAF0D2B">
            <w:pPr>
              <w:bidi w:val="0"/>
              <w:rPr>
                <w:rFonts w:hint="eastAsia" w:ascii="宋体" w:hAnsi="宋体" w:eastAsia="宋体" w:cs="宋体"/>
                <w:sz w:val="21"/>
                <w:szCs w:val="21"/>
              </w:rPr>
            </w:pPr>
            <w:r>
              <w:rPr>
                <w:rFonts w:hint="eastAsia" w:ascii="宋体" w:hAnsi="宋体" w:eastAsia="宋体" w:cs="宋体"/>
                <w:sz w:val="21"/>
                <w:szCs w:val="21"/>
              </w:rPr>
              <w:t>四、推广政府采购合同融资</w:t>
            </w:r>
          </w:p>
          <w:p w14:paraId="3033754D">
            <w:pPr>
              <w:bidi w:val="0"/>
              <w:rPr>
                <w:rFonts w:hint="eastAsia" w:ascii="宋体" w:hAnsi="宋体" w:eastAsia="宋体" w:cs="宋体"/>
                <w:sz w:val="21"/>
                <w:szCs w:val="21"/>
              </w:rPr>
            </w:pPr>
            <w:r>
              <w:rPr>
                <w:rFonts w:hint="eastAsia" w:ascii="宋体" w:hAnsi="宋体" w:eastAsia="宋体" w:cs="宋体"/>
                <w:sz w:val="21"/>
                <w:szCs w:val="21"/>
              </w:rPr>
              <w:t>要求采购人和代理机构将“政府采购合同融资告知函”写入招标文件，鼓励中标供应商凭借采购合同申请贷款，助力解决中小企业融资难、融资贵的问题。</w:t>
            </w:r>
          </w:p>
          <w:p w14:paraId="01B6952B">
            <w:pPr>
              <w:bidi w:val="0"/>
              <w:rPr>
                <w:rFonts w:hint="eastAsia" w:ascii="宋体" w:hAnsi="宋体" w:eastAsia="宋体" w:cs="宋体"/>
                <w:sz w:val="21"/>
                <w:szCs w:val="21"/>
              </w:rPr>
            </w:pPr>
            <w:r>
              <w:rPr>
                <w:rFonts w:hint="eastAsia" w:ascii="宋体" w:hAnsi="宋体" w:eastAsia="宋体" w:cs="宋体"/>
                <w:sz w:val="21"/>
                <w:szCs w:val="21"/>
              </w:rPr>
              <w:t>五、落实预留采购份额</w:t>
            </w:r>
          </w:p>
          <w:p w14:paraId="71644093">
            <w:pPr>
              <w:bidi w:val="0"/>
              <w:rPr>
                <w:rFonts w:hint="eastAsia" w:ascii="宋体" w:hAnsi="宋体" w:eastAsia="宋体" w:cs="宋体"/>
                <w:sz w:val="21"/>
                <w:szCs w:val="21"/>
              </w:rPr>
            </w:pPr>
            <w:r>
              <w:rPr>
                <w:rFonts w:hint="eastAsia" w:ascii="宋体" w:hAnsi="宋体" w:eastAsia="宋体" w:cs="宋体"/>
                <w:sz w:val="21"/>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2885FE27">
            <w:pPr>
              <w:bidi w:val="0"/>
              <w:rPr>
                <w:rFonts w:hint="eastAsia" w:ascii="宋体" w:hAnsi="宋体" w:eastAsia="宋体" w:cs="宋体"/>
                <w:sz w:val="21"/>
                <w:szCs w:val="21"/>
              </w:rPr>
            </w:pPr>
            <w:r>
              <w:rPr>
                <w:rFonts w:hint="eastAsia" w:ascii="宋体" w:hAnsi="宋体" w:eastAsia="宋体" w:cs="宋体"/>
                <w:sz w:val="21"/>
                <w:szCs w:val="21"/>
              </w:rPr>
              <w:t>六、落实价格评审优惠政策</w:t>
            </w:r>
          </w:p>
          <w:p w14:paraId="71769B7A">
            <w:pPr>
              <w:bidi w:val="0"/>
              <w:rPr>
                <w:rFonts w:hint="eastAsia" w:ascii="宋体" w:hAnsi="宋体" w:eastAsia="宋体" w:cs="宋体"/>
                <w:sz w:val="21"/>
                <w:szCs w:val="21"/>
              </w:rPr>
            </w:pPr>
            <w:r>
              <w:rPr>
                <w:rFonts w:hint="eastAsia" w:ascii="宋体" w:hAnsi="宋体" w:eastAsia="宋体" w:cs="宋体"/>
                <w:sz w:val="21"/>
                <w:szCs w:val="21"/>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p w14:paraId="2E5E721E">
            <w:pPr>
              <w:bidi w:val="0"/>
              <w:rPr>
                <w:rFonts w:hint="eastAsia" w:ascii="宋体" w:hAnsi="宋体" w:eastAsia="宋体" w:cs="宋体"/>
                <w:sz w:val="21"/>
                <w:szCs w:val="21"/>
              </w:rPr>
            </w:pPr>
            <w:r>
              <w:rPr>
                <w:rFonts w:hint="eastAsia" w:ascii="宋体" w:hAnsi="宋体" w:eastAsia="宋体" w:cs="宋体"/>
                <w:sz w:val="21"/>
                <w:szCs w:val="21"/>
              </w:rPr>
              <w:t>本项目专门面向中小企业采购，不再执行价格评审优惠的扶持政策。</w:t>
            </w:r>
          </w:p>
        </w:tc>
      </w:tr>
      <w:tr w14:paraId="16A36327">
        <w:tblPrEx>
          <w:tblCellMar>
            <w:top w:w="0" w:type="dxa"/>
            <w:left w:w="108" w:type="dxa"/>
            <w:bottom w:w="0" w:type="dxa"/>
            <w:right w:w="108" w:type="dxa"/>
          </w:tblCellMar>
        </w:tblPrEx>
        <w:trPr>
          <w:trHeight w:val="1550"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0CE09BCB">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1985" w:type="dxa"/>
            <w:tcBorders>
              <w:top w:val="single" w:color="auto" w:sz="4" w:space="0"/>
              <w:left w:val="single" w:color="auto" w:sz="4" w:space="0"/>
              <w:bottom w:val="single" w:color="auto" w:sz="4" w:space="0"/>
              <w:right w:val="single" w:color="auto" w:sz="4" w:space="0"/>
            </w:tcBorders>
          </w:tcPr>
          <w:p w14:paraId="6C8751C1">
            <w:pPr>
              <w:bidi w:val="0"/>
              <w:rPr>
                <w:rFonts w:hint="eastAsia" w:ascii="宋体" w:hAnsi="宋体" w:eastAsia="宋体" w:cs="宋体"/>
                <w:sz w:val="21"/>
                <w:szCs w:val="21"/>
              </w:rPr>
            </w:pPr>
            <w:r>
              <w:rPr>
                <w:rFonts w:hint="eastAsia" w:ascii="宋体" w:hAnsi="宋体" w:eastAsia="宋体" w:cs="宋体"/>
                <w:sz w:val="21"/>
                <w:szCs w:val="21"/>
              </w:rPr>
              <w:t>四方信用评价</w:t>
            </w:r>
          </w:p>
        </w:tc>
        <w:tc>
          <w:tcPr>
            <w:tcW w:w="6179" w:type="dxa"/>
            <w:tcBorders>
              <w:top w:val="single" w:color="auto" w:sz="4" w:space="0"/>
              <w:left w:val="single" w:color="auto" w:sz="4" w:space="0"/>
              <w:bottom w:val="single" w:color="auto" w:sz="4" w:space="0"/>
              <w:right w:val="single" w:color="auto" w:sz="4" w:space="0"/>
            </w:tcBorders>
          </w:tcPr>
          <w:p w14:paraId="3B56976E">
            <w:pPr>
              <w:bidi w:val="0"/>
              <w:rPr>
                <w:rFonts w:hint="eastAsia" w:ascii="宋体" w:hAnsi="宋体" w:eastAsia="宋体" w:cs="宋体"/>
                <w:sz w:val="21"/>
                <w:szCs w:val="21"/>
              </w:rPr>
            </w:pPr>
            <w:r>
              <w:rPr>
                <w:rFonts w:hint="eastAsia" w:ascii="宋体" w:hAnsi="宋体" w:eastAsia="宋体" w:cs="宋体"/>
                <w:sz w:val="21"/>
                <w:szCs w:val="21"/>
              </w:rPr>
              <w:t>《河南省政府采购网》目前已增加“四方信用评价”功能。请本项目采购人、代理机构、本项目评审专家、本项目中标供应商，按照评价时间节点按时完成评价工作。</w:t>
            </w:r>
          </w:p>
          <w:p w14:paraId="5B1EBC09">
            <w:pPr>
              <w:bidi w:val="0"/>
              <w:rPr>
                <w:rFonts w:hint="eastAsia" w:ascii="宋体" w:hAnsi="宋体" w:eastAsia="宋体" w:cs="宋体"/>
                <w:sz w:val="21"/>
                <w:szCs w:val="21"/>
              </w:rPr>
            </w:pPr>
            <w:r>
              <w:rPr>
                <w:rFonts w:hint="eastAsia" w:ascii="宋体" w:hAnsi="宋体" w:eastAsia="宋体" w:cs="宋体"/>
                <w:sz w:val="21"/>
                <w:szCs w:val="21"/>
              </w:rPr>
              <w:t>时间节点在评审结束后的五个工作日内。如果超期未评价，系统会默认超期不让评价。注：请各方注意时间，避免因超期未评价影响自身信用！</w:t>
            </w:r>
          </w:p>
          <w:p w14:paraId="47FF9A3C">
            <w:pPr>
              <w:bidi w:val="0"/>
              <w:rPr>
                <w:rFonts w:hint="eastAsia" w:ascii="宋体" w:hAnsi="宋体" w:eastAsia="宋体" w:cs="宋体"/>
                <w:sz w:val="21"/>
                <w:szCs w:val="21"/>
              </w:rPr>
            </w:pPr>
            <w:r>
              <w:rPr>
                <w:rFonts w:hint="eastAsia" w:ascii="宋体" w:hAnsi="宋体" w:eastAsia="宋体" w:cs="宋体"/>
                <w:sz w:val="21"/>
                <w:szCs w:val="21"/>
              </w:rPr>
              <w:t>1.采购人、采购代理机构应当在评审工作结束后五个工作日内对评审专家进行评价。</w:t>
            </w:r>
          </w:p>
          <w:p w14:paraId="3CEA32DE">
            <w:pPr>
              <w:bidi w:val="0"/>
              <w:rPr>
                <w:rFonts w:hint="eastAsia" w:ascii="宋体" w:hAnsi="宋体" w:eastAsia="宋体" w:cs="宋体"/>
                <w:sz w:val="21"/>
                <w:szCs w:val="21"/>
              </w:rPr>
            </w:pPr>
            <w:r>
              <w:rPr>
                <w:rFonts w:hint="eastAsia" w:ascii="宋体" w:hAnsi="宋体" w:eastAsia="宋体" w:cs="宋体"/>
                <w:sz w:val="21"/>
                <w:szCs w:val="21"/>
              </w:rPr>
              <w:t>2.采购人、评审专家、供应商应当在评审工作结束后五个工作日内对代理机构进行评价。</w:t>
            </w:r>
          </w:p>
          <w:p w14:paraId="14586E63">
            <w:pPr>
              <w:bidi w:val="0"/>
              <w:rPr>
                <w:rFonts w:hint="eastAsia" w:ascii="宋体" w:hAnsi="宋体" w:eastAsia="宋体" w:cs="宋体"/>
                <w:sz w:val="21"/>
                <w:szCs w:val="21"/>
              </w:rPr>
            </w:pPr>
            <w:r>
              <w:rPr>
                <w:rFonts w:hint="eastAsia" w:ascii="宋体" w:hAnsi="宋体" w:eastAsia="宋体" w:cs="宋体"/>
                <w:sz w:val="21"/>
                <w:szCs w:val="21"/>
              </w:rPr>
              <w:t>3.采购人应当在合同履约完成后对中标供应商进行评价。</w:t>
            </w:r>
          </w:p>
          <w:p w14:paraId="6D29DF2E">
            <w:pPr>
              <w:bidi w:val="0"/>
              <w:rPr>
                <w:rFonts w:hint="eastAsia" w:ascii="宋体" w:hAnsi="宋体" w:eastAsia="宋体" w:cs="宋体"/>
                <w:sz w:val="21"/>
                <w:szCs w:val="21"/>
              </w:rPr>
            </w:pPr>
            <w:r>
              <w:rPr>
                <w:rFonts w:hint="eastAsia" w:ascii="宋体" w:hAnsi="宋体" w:eastAsia="宋体" w:cs="宋体"/>
                <w:sz w:val="21"/>
                <w:szCs w:val="21"/>
              </w:rPr>
              <w:t>4.中标供应商应当在合同履约完成后对采购人进行评价。</w:t>
            </w:r>
          </w:p>
        </w:tc>
      </w:tr>
      <w:tr w14:paraId="31F3DFAB">
        <w:tblPrEx>
          <w:tblCellMar>
            <w:top w:w="0" w:type="dxa"/>
            <w:left w:w="108" w:type="dxa"/>
            <w:bottom w:w="0" w:type="dxa"/>
            <w:right w:w="108" w:type="dxa"/>
          </w:tblCellMar>
        </w:tblPrEx>
        <w:trPr>
          <w:trHeight w:val="1370"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2515AB1E">
            <w:pPr>
              <w:bidi w:val="0"/>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4</w:t>
            </w:r>
          </w:p>
        </w:tc>
        <w:tc>
          <w:tcPr>
            <w:tcW w:w="1985" w:type="dxa"/>
            <w:tcBorders>
              <w:top w:val="single" w:color="auto" w:sz="4" w:space="0"/>
              <w:left w:val="single" w:color="auto" w:sz="4" w:space="0"/>
              <w:bottom w:val="single" w:color="auto" w:sz="4" w:space="0"/>
              <w:right w:val="single" w:color="auto" w:sz="4" w:space="0"/>
            </w:tcBorders>
            <w:vAlign w:val="center"/>
          </w:tcPr>
          <w:p w14:paraId="3452DD29">
            <w:pPr>
              <w:bidi w:val="0"/>
              <w:rPr>
                <w:rFonts w:hint="eastAsia" w:ascii="宋体" w:hAnsi="宋体" w:eastAsia="宋体" w:cs="宋体"/>
                <w:sz w:val="21"/>
                <w:szCs w:val="21"/>
              </w:rPr>
            </w:pPr>
            <w:r>
              <w:rPr>
                <w:rFonts w:hint="eastAsia" w:ascii="宋体" w:hAnsi="宋体" w:eastAsia="宋体" w:cs="宋体"/>
                <w:sz w:val="21"/>
                <w:szCs w:val="21"/>
              </w:rPr>
              <w:t>落实绿色产品（节能产品、环境标志产品）优先采购政策</w:t>
            </w:r>
          </w:p>
        </w:tc>
        <w:tc>
          <w:tcPr>
            <w:tcW w:w="6179" w:type="dxa"/>
            <w:tcBorders>
              <w:top w:val="single" w:color="auto" w:sz="4" w:space="0"/>
              <w:left w:val="single" w:color="auto" w:sz="4" w:space="0"/>
              <w:bottom w:val="single" w:color="auto" w:sz="4" w:space="0"/>
              <w:right w:val="single" w:color="auto" w:sz="4" w:space="0"/>
            </w:tcBorders>
            <w:vAlign w:val="center"/>
          </w:tcPr>
          <w:p w14:paraId="17209755">
            <w:pPr>
              <w:bidi w:val="0"/>
              <w:rPr>
                <w:rFonts w:hint="eastAsia" w:ascii="宋体" w:hAnsi="宋体" w:eastAsia="宋体" w:cs="宋体"/>
                <w:sz w:val="21"/>
                <w:szCs w:val="21"/>
              </w:rPr>
            </w:pPr>
            <w:r>
              <w:rPr>
                <w:rFonts w:hint="eastAsia" w:ascii="宋体" w:hAnsi="宋体" w:eastAsia="宋体" w:cs="宋体"/>
                <w:sz w:val="21"/>
                <w:szCs w:val="21"/>
              </w:rPr>
              <w:t>不适用</w:t>
            </w:r>
          </w:p>
        </w:tc>
      </w:tr>
      <w:tr w14:paraId="0634701D">
        <w:tblPrEx>
          <w:tblCellMar>
            <w:top w:w="0" w:type="dxa"/>
            <w:left w:w="108" w:type="dxa"/>
            <w:bottom w:w="0" w:type="dxa"/>
            <w:right w:w="108" w:type="dxa"/>
          </w:tblCellMar>
        </w:tblPrEx>
        <w:trPr>
          <w:trHeight w:val="1250"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4DA36072">
            <w:pPr>
              <w:bidi w:val="0"/>
              <w:rPr>
                <w:rFonts w:hint="default" w:ascii="宋体" w:hAnsi="宋体" w:eastAsia="宋体" w:cs="宋体"/>
                <w:sz w:val="21"/>
                <w:szCs w:val="21"/>
                <w:lang w:val="en-US" w:eastAsia="zh-CN"/>
              </w:rPr>
            </w:pPr>
            <w:r>
              <w:rPr>
                <w:rFonts w:hint="eastAsia" w:ascii="宋体" w:hAnsi="宋体" w:cs="宋体"/>
                <w:sz w:val="21"/>
                <w:szCs w:val="21"/>
                <w:lang w:val="en-US" w:eastAsia="zh-CN"/>
              </w:rPr>
              <w:t>35</w:t>
            </w:r>
          </w:p>
        </w:tc>
        <w:tc>
          <w:tcPr>
            <w:tcW w:w="1985" w:type="dxa"/>
            <w:tcBorders>
              <w:top w:val="single" w:color="auto" w:sz="4" w:space="0"/>
              <w:left w:val="single" w:color="auto" w:sz="4" w:space="0"/>
              <w:bottom w:val="single" w:color="auto" w:sz="4" w:space="0"/>
              <w:right w:val="single" w:color="auto" w:sz="4" w:space="0"/>
            </w:tcBorders>
            <w:vAlign w:val="center"/>
          </w:tcPr>
          <w:p w14:paraId="78B31D16">
            <w:pPr>
              <w:bidi w:val="0"/>
              <w:rPr>
                <w:rFonts w:hint="eastAsia" w:ascii="宋体" w:hAnsi="宋体" w:eastAsia="宋体" w:cs="宋体"/>
                <w:b/>
                <w:bCs/>
                <w:color w:val="auto"/>
                <w:sz w:val="21"/>
                <w:szCs w:val="21"/>
              </w:rPr>
            </w:pPr>
            <w:r>
              <w:rPr>
                <w:rFonts w:hint="eastAsia" w:ascii="宋体" w:hAnsi="宋体" w:eastAsia="宋体" w:cs="宋体"/>
                <w:b/>
                <w:bCs/>
                <w:color w:val="auto"/>
                <w:sz w:val="21"/>
                <w:szCs w:val="21"/>
              </w:rPr>
              <w:t>本项目对应的中小企业划分标准所属行业</w:t>
            </w:r>
          </w:p>
        </w:tc>
        <w:tc>
          <w:tcPr>
            <w:tcW w:w="6179" w:type="dxa"/>
            <w:tcBorders>
              <w:top w:val="single" w:color="auto" w:sz="4" w:space="0"/>
              <w:left w:val="single" w:color="auto" w:sz="4" w:space="0"/>
              <w:bottom w:val="single" w:color="auto" w:sz="4" w:space="0"/>
              <w:right w:val="single" w:color="auto" w:sz="4" w:space="0"/>
            </w:tcBorders>
            <w:vAlign w:val="center"/>
          </w:tcPr>
          <w:p w14:paraId="5B7FC081">
            <w:pPr>
              <w:bidi w:val="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采购标的所属行业：</w:t>
            </w:r>
            <w:r>
              <w:rPr>
                <w:rFonts w:hint="eastAsia" w:ascii="宋体" w:hAnsi="宋体" w:eastAsia="宋体" w:cs="宋体"/>
                <w:b/>
                <w:bCs/>
                <w:color w:val="auto"/>
                <w:sz w:val="21"/>
                <w:szCs w:val="21"/>
                <w:lang w:val="en-US" w:eastAsia="zh-CN"/>
              </w:rPr>
              <w:t>软件和信息技术服务业</w:t>
            </w:r>
          </w:p>
          <w:p w14:paraId="5179C6BC">
            <w:pPr>
              <w:bidi w:val="0"/>
              <w:rPr>
                <w:rFonts w:hint="eastAsia" w:ascii="宋体" w:hAnsi="宋体" w:eastAsia="宋体" w:cs="宋体"/>
                <w:b/>
                <w:bCs/>
                <w:color w:val="auto"/>
                <w:sz w:val="21"/>
                <w:szCs w:val="21"/>
              </w:rPr>
            </w:pPr>
            <w:r>
              <w:rPr>
                <w:rFonts w:hint="eastAsia" w:ascii="宋体" w:hAnsi="宋体" w:eastAsia="宋体" w:cs="宋体"/>
                <w:b/>
                <w:bCs/>
                <w:color w:val="auto"/>
                <w:sz w:val="21"/>
                <w:szCs w:val="21"/>
              </w:rPr>
              <w:t>划定标准为：中小微企业划分按照《国家统计局关于印发&lt;统计上大中小微型企业划分办法（2017）&gt;的通知》国统字【2017】213号文件及《工业和信息化部、国家统计局、国家发展和改革委员会、财政部关于印发&lt; 中小企业划型标准规定&gt;（工信部联企业〔2011〕300 号）规定的划分标准为依据。</w:t>
            </w:r>
          </w:p>
        </w:tc>
      </w:tr>
      <w:tr w14:paraId="6749E2C8">
        <w:tblPrEx>
          <w:tblCellMar>
            <w:top w:w="0" w:type="dxa"/>
            <w:left w:w="108" w:type="dxa"/>
            <w:bottom w:w="0" w:type="dxa"/>
            <w:right w:w="108" w:type="dxa"/>
          </w:tblCellMar>
        </w:tblPrEx>
        <w:trPr>
          <w:trHeight w:val="1250" w:hRule="atLeast"/>
          <w:jc w:val="center"/>
        </w:trPr>
        <w:tc>
          <w:tcPr>
            <w:tcW w:w="9242" w:type="dxa"/>
            <w:gridSpan w:val="3"/>
            <w:tcBorders>
              <w:top w:val="single" w:color="auto" w:sz="4" w:space="0"/>
              <w:left w:val="single" w:color="auto" w:sz="4" w:space="0"/>
              <w:bottom w:val="single" w:color="auto" w:sz="4" w:space="0"/>
              <w:right w:val="single" w:color="auto" w:sz="4" w:space="0"/>
            </w:tcBorders>
            <w:vAlign w:val="center"/>
          </w:tcPr>
          <w:p w14:paraId="1B006DCE">
            <w:pPr>
              <w:bidi w:val="0"/>
              <w:rPr>
                <w:rFonts w:hint="eastAsia" w:ascii="宋体" w:hAnsi="宋体" w:eastAsia="宋体" w:cs="宋体"/>
                <w:sz w:val="21"/>
                <w:szCs w:val="21"/>
              </w:rPr>
            </w:pPr>
            <w:bookmarkStart w:id="10" w:name="_Toc25945"/>
            <w:bookmarkStart w:id="11" w:name="_Toc144974497"/>
            <w:bookmarkStart w:id="12" w:name="_Toc152045529"/>
            <w:bookmarkStart w:id="13" w:name="_Toc179632546"/>
            <w:bookmarkStart w:id="14" w:name="_Toc152042305"/>
            <w:r>
              <w:rPr>
                <w:rFonts w:hint="eastAsia" w:ascii="宋体" w:hAnsi="宋体" w:eastAsia="宋体" w:cs="宋体"/>
                <w:sz w:val="21"/>
                <w:szCs w:val="21"/>
              </w:rPr>
              <w:t>合同签订：按《关于在工程建设、政府采购领域全面实施合同在线签订的通知》（平公管办【2022】8号）文件要求，实施在线签订合同。</w:t>
            </w:r>
          </w:p>
        </w:tc>
      </w:tr>
      <w:tr w14:paraId="467C8B44">
        <w:tblPrEx>
          <w:tblCellMar>
            <w:top w:w="0" w:type="dxa"/>
            <w:left w:w="108" w:type="dxa"/>
            <w:bottom w:w="0" w:type="dxa"/>
            <w:right w:w="108" w:type="dxa"/>
          </w:tblCellMar>
        </w:tblPrEx>
        <w:trPr>
          <w:trHeight w:val="1250" w:hRule="atLeast"/>
          <w:jc w:val="center"/>
        </w:trPr>
        <w:tc>
          <w:tcPr>
            <w:tcW w:w="9242" w:type="dxa"/>
            <w:gridSpan w:val="3"/>
            <w:tcBorders>
              <w:top w:val="single" w:color="auto" w:sz="4" w:space="0"/>
              <w:left w:val="single" w:color="auto" w:sz="4" w:space="0"/>
              <w:bottom w:val="single" w:color="auto" w:sz="4" w:space="0"/>
              <w:right w:val="single" w:color="auto" w:sz="4" w:space="0"/>
            </w:tcBorders>
            <w:vAlign w:val="center"/>
          </w:tcPr>
          <w:p w14:paraId="08445046">
            <w:pPr>
              <w:bidi w:val="0"/>
              <w:rPr>
                <w:rFonts w:hint="eastAsia" w:ascii="宋体" w:hAnsi="宋体" w:eastAsia="宋体" w:cs="宋体"/>
                <w:sz w:val="21"/>
                <w:szCs w:val="21"/>
              </w:rPr>
            </w:pPr>
            <w:r>
              <w:rPr>
                <w:rFonts w:hint="eastAsia" w:ascii="宋体" w:hAnsi="宋体" w:eastAsia="宋体" w:cs="宋体"/>
                <w:sz w:val="21"/>
                <w:szCs w:val="21"/>
              </w:rPr>
              <w:t>按照《政府采购促进中小企业发展管理办法》（财库〔2020〕46 号）、《关于印发中小企业划型标准规定的通知》工信部联企业〔2011〕300 号及《关于政府采购促进小型微型企业发展的实施意见》（豫财购[2013]14 号）、财政部、司法部关于政府采购支持监狱企业发展有关问题的通知（财库 根据上述要求计算得出的价格仅限于评[2014]68 号）的要求，财政部民政</w:t>
            </w:r>
          </w:p>
          <w:p w14:paraId="1344F70F">
            <w:pPr>
              <w:bidi w:val="0"/>
              <w:rPr>
                <w:rFonts w:hint="eastAsia" w:ascii="宋体" w:hAnsi="宋体" w:eastAsia="宋体" w:cs="宋体"/>
                <w:sz w:val="21"/>
                <w:szCs w:val="21"/>
              </w:rPr>
            </w:pPr>
            <w:r>
              <w:rPr>
                <w:rFonts w:hint="eastAsia" w:ascii="宋体" w:hAnsi="宋体" w:eastAsia="宋体" w:cs="宋体"/>
                <w:sz w:val="21"/>
                <w:szCs w:val="21"/>
              </w:rPr>
              <w:t>部中国残疾人联合会《关于促进残疾人就业政府采购政策的通知》（财库） [2017]141 号规定。中小企业需提供《中小企业声明函》，否则不予认可。残疾人福利性单位在参加采购活动时，应当提供本通知规定的《残疾人福利性单位声明函》，并对声明的真实性负责。</w:t>
            </w:r>
          </w:p>
          <w:p w14:paraId="7C5B7F02">
            <w:pPr>
              <w:bidi w:val="0"/>
              <w:rPr>
                <w:rFonts w:hint="eastAsia" w:ascii="宋体" w:hAnsi="宋体" w:eastAsia="宋体" w:cs="宋体"/>
                <w:sz w:val="21"/>
                <w:szCs w:val="21"/>
              </w:rPr>
            </w:pPr>
            <w:r>
              <w:rPr>
                <w:rFonts w:hint="eastAsia" w:ascii="宋体" w:hAnsi="宋体" w:eastAsia="宋体" w:cs="宋体"/>
                <w:sz w:val="21"/>
                <w:szCs w:val="21"/>
              </w:rPr>
              <w:t>投标时使用，对成交价格没有任何影响。投标人若不符合上述规定的或不能提供有效的证明资料，评标委员会将按照评标方法及标准中规定的方式计算。同一投标人，中小微企业产品、监狱企业产品、残疾人福利性单位</w:t>
            </w:r>
          </w:p>
          <w:p w14:paraId="7B550163">
            <w:pPr>
              <w:bidi w:val="0"/>
              <w:rPr>
                <w:rFonts w:hint="eastAsia" w:ascii="宋体" w:hAnsi="宋体" w:eastAsia="宋体" w:cs="宋体"/>
                <w:sz w:val="21"/>
                <w:szCs w:val="21"/>
              </w:rPr>
            </w:pPr>
            <w:r>
              <w:rPr>
                <w:rFonts w:hint="eastAsia" w:ascii="宋体" w:hAnsi="宋体" w:eastAsia="宋体" w:cs="宋体"/>
                <w:sz w:val="21"/>
                <w:szCs w:val="21"/>
              </w:rPr>
              <w:t>价格扣除优惠只享受一次，不得重复享受。</w:t>
            </w:r>
          </w:p>
        </w:tc>
      </w:tr>
    </w:tbl>
    <w:p w14:paraId="091B6043">
      <w:pPr>
        <w:keepNext/>
        <w:keepLines/>
        <w:spacing w:before="100" w:line="360" w:lineRule="auto"/>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rPr>
        <w:t>1. 总则</w:t>
      </w:r>
      <w:bookmarkEnd w:id="10"/>
      <w:bookmarkEnd w:id="11"/>
      <w:bookmarkEnd w:id="12"/>
      <w:bookmarkEnd w:id="13"/>
      <w:bookmarkEnd w:id="14"/>
    </w:p>
    <w:p w14:paraId="089E0311">
      <w:pPr>
        <w:keepNext/>
        <w:keepLines/>
        <w:spacing w:line="360" w:lineRule="auto"/>
        <w:outlineLvl w:val="2"/>
        <w:rPr>
          <w:rFonts w:hint="eastAsia" w:ascii="宋体" w:hAnsi="宋体" w:eastAsia="宋体" w:cs="宋体"/>
          <w:b/>
          <w:color w:val="000000"/>
          <w:sz w:val="21"/>
          <w:szCs w:val="21"/>
        </w:rPr>
      </w:pPr>
      <w:bookmarkStart w:id="15" w:name="_Toc179632547"/>
      <w:bookmarkStart w:id="16" w:name="_Toc144974498"/>
      <w:bookmarkStart w:id="17" w:name="_Toc152045530"/>
      <w:bookmarkStart w:id="18" w:name="_Toc28137"/>
      <w:bookmarkStart w:id="19" w:name="_Toc152042306"/>
      <w:r>
        <w:rPr>
          <w:rFonts w:hint="eastAsia" w:ascii="宋体" w:hAnsi="宋体" w:eastAsia="宋体" w:cs="宋体"/>
          <w:b/>
          <w:color w:val="000000"/>
          <w:sz w:val="21"/>
          <w:szCs w:val="21"/>
        </w:rPr>
        <w:t>1.1 项目概况</w:t>
      </w:r>
      <w:bookmarkEnd w:id="15"/>
      <w:bookmarkEnd w:id="16"/>
      <w:bookmarkEnd w:id="17"/>
      <w:bookmarkEnd w:id="18"/>
      <w:bookmarkEnd w:id="19"/>
    </w:p>
    <w:p w14:paraId="2145AD6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1.1.1根据有关法律、法规和规章的规定，本招标项目已具备招标条件，现对本项目进行招标。</w:t>
      </w:r>
    </w:p>
    <w:p w14:paraId="29088523">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1.1.2 本招标项目采购人：</w:t>
      </w:r>
      <w:r>
        <w:rPr>
          <w:rFonts w:hint="eastAsia" w:ascii="宋体" w:hAnsi="宋体" w:eastAsia="宋体" w:cs="宋体"/>
          <w:sz w:val="21"/>
          <w:szCs w:val="21"/>
        </w:rPr>
        <w:t>见</w:t>
      </w:r>
      <w:r>
        <w:rPr>
          <w:rFonts w:hint="eastAsia" w:ascii="宋体" w:hAnsi="宋体" w:eastAsia="宋体" w:cs="宋体"/>
          <w:snapToGrid w:val="0"/>
          <w:kern w:val="0"/>
          <w:sz w:val="21"/>
          <w:szCs w:val="21"/>
        </w:rPr>
        <w:t>投标人须知</w:t>
      </w:r>
      <w:r>
        <w:rPr>
          <w:rFonts w:hint="eastAsia" w:ascii="宋体" w:hAnsi="宋体" w:eastAsia="宋体" w:cs="宋体"/>
          <w:sz w:val="21"/>
          <w:szCs w:val="21"/>
        </w:rPr>
        <w:t>前附表</w:t>
      </w:r>
      <w:r>
        <w:rPr>
          <w:rFonts w:hint="eastAsia" w:ascii="宋体" w:hAnsi="宋体" w:eastAsia="宋体" w:cs="宋体"/>
          <w:color w:val="000000"/>
          <w:sz w:val="21"/>
          <w:szCs w:val="21"/>
        </w:rPr>
        <w:t>。</w:t>
      </w:r>
    </w:p>
    <w:p w14:paraId="54A266AC">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1.1.3 本招标项目采购代理机构：</w:t>
      </w:r>
      <w:r>
        <w:rPr>
          <w:rFonts w:hint="eastAsia" w:ascii="宋体" w:hAnsi="宋体" w:eastAsia="宋体" w:cs="宋体"/>
          <w:sz w:val="21"/>
          <w:szCs w:val="21"/>
        </w:rPr>
        <w:t>见</w:t>
      </w:r>
      <w:r>
        <w:rPr>
          <w:rFonts w:hint="eastAsia" w:ascii="宋体" w:hAnsi="宋体" w:eastAsia="宋体" w:cs="宋体"/>
          <w:snapToGrid w:val="0"/>
          <w:kern w:val="0"/>
          <w:sz w:val="21"/>
          <w:szCs w:val="21"/>
        </w:rPr>
        <w:t>投标人须知</w:t>
      </w:r>
      <w:r>
        <w:rPr>
          <w:rFonts w:hint="eastAsia" w:ascii="宋体" w:hAnsi="宋体" w:eastAsia="宋体" w:cs="宋体"/>
          <w:sz w:val="21"/>
          <w:szCs w:val="21"/>
        </w:rPr>
        <w:t>前附表</w:t>
      </w:r>
      <w:r>
        <w:rPr>
          <w:rFonts w:hint="eastAsia" w:ascii="宋体" w:hAnsi="宋体" w:eastAsia="宋体" w:cs="宋体"/>
          <w:color w:val="000000"/>
          <w:sz w:val="21"/>
          <w:szCs w:val="21"/>
        </w:rPr>
        <w:t>。</w:t>
      </w:r>
    </w:p>
    <w:p w14:paraId="480DF2DC">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1.1.4 本招标项目名称：</w:t>
      </w:r>
      <w:r>
        <w:rPr>
          <w:rFonts w:hint="eastAsia" w:ascii="宋体" w:hAnsi="宋体" w:eastAsia="宋体" w:cs="宋体"/>
          <w:sz w:val="21"/>
          <w:szCs w:val="21"/>
        </w:rPr>
        <w:t>见</w:t>
      </w:r>
      <w:r>
        <w:rPr>
          <w:rFonts w:hint="eastAsia" w:ascii="宋体" w:hAnsi="宋体" w:eastAsia="宋体" w:cs="宋体"/>
          <w:snapToGrid w:val="0"/>
          <w:kern w:val="0"/>
          <w:sz w:val="21"/>
          <w:szCs w:val="21"/>
        </w:rPr>
        <w:t>投标人须知</w:t>
      </w:r>
      <w:r>
        <w:rPr>
          <w:rFonts w:hint="eastAsia" w:ascii="宋体" w:hAnsi="宋体" w:eastAsia="宋体" w:cs="宋体"/>
          <w:sz w:val="21"/>
          <w:szCs w:val="21"/>
        </w:rPr>
        <w:t>前附表</w:t>
      </w:r>
      <w:r>
        <w:rPr>
          <w:rFonts w:hint="eastAsia" w:ascii="宋体" w:hAnsi="宋体" w:eastAsia="宋体" w:cs="宋体"/>
          <w:color w:val="000000"/>
          <w:sz w:val="21"/>
          <w:szCs w:val="21"/>
        </w:rPr>
        <w:t>。</w:t>
      </w:r>
    </w:p>
    <w:p w14:paraId="5A8B318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1.1.5 本招标项目建设地点：</w:t>
      </w:r>
      <w:r>
        <w:rPr>
          <w:rFonts w:hint="eastAsia" w:ascii="宋体" w:hAnsi="宋体" w:eastAsia="宋体" w:cs="宋体"/>
          <w:sz w:val="21"/>
          <w:szCs w:val="21"/>
        </w:rPr>
        <w:t>见</w:t>
      </w:r>
      <w:r>
        <w:rPr>
          <w:rFonts w:hint="eastAsia" w:ascii="宋体" w:hAnsi="宋体" w:eastAsia="宋体" w:cs="宋体"/>
          <w:snapToGrid w:val="0"/>
          <w:kern w:val="0"/>
          <w:sz w:val="21"/>
          <w:szCs w:val="21"/>
        </w:rPr>
        <w:t>投标人须知</w:t>
      </w:r>
      <w:r>
        <w:rPr>
          <w:rFonts w:hint="eastAsia" w:ascii="宋体" w:hAnsi="宋体" w:eastAsia="宋体" w:cs="宋体"/>
          <w:sz w:val="21"/>
          <w:szCs w:val="21"/>
        </w:rPr>
        <w:t>前附表</w:t>
      </w:r>
      <w:r>
        <w:rPr>
          <w:rFonts w:hint="eastAsia" w:ascii="宋体" w:hAnsi="宋体" w:eastAsia="宋体" w:cs="宋体"/>
          <w:color w:val="000000"/>
          <w:sz w:val="21"/>
          <w:szCs w:val="21"/>
        </w:rPr>
        <w:t>。</w:t>
      </w:r>
    </w:p>
    <w:p w14:paraId="721504A9">
      <w:pPr>
        <w:keepNext/>
        <w:keepLines/>
        <w:spacing w:line="360" w:lineRule="auto"/>
        <w:outlineLvl w:val="2"/>
        <w:rPr>
          <w:rFonts w:hint="eastAsia" w:ascii="宋体" w:hAnsi="宋体" w:eastAsia="宋体" w:cs="宋体"/>
          <w:b/>
          <w:color w:val="000000"/>
          <w:sz w:val="21"/>
          <w:szCs w:val="21"/>
        </w:rPr>
      </w:pPr>
      <w:bookmarkStart w:id="20" w:name="_Toc152042307"/>
      <w:bookmarkStart w:id="21" w:name="_Toc6498"/>
      <w:bookmarkStart w:id="22" w:name="_Toc152045531"/>
      <w:bookmarkStart w:id="23" w:name="_Toc179632548"/>
      <w:bookmarkStart w:id="24" w:name="_Toc144974499"/>
      <w:r>
        <w:rPr>
          <w:rFonts w:hint="eastAsia" w:ascii="宋体" w:hAnsi="宋体" w:eastAsia="宋体" w:cs="宋体"/>
          <w:b/>
          <w:color w:val="000000"/>
          <w:sz w:val="21"/>
          <w:szCs w:val="21"/>
        </w:rPr>
        <w:t>1.2 资金来源和落实情况</w:t>
      </w:r>
      <w:bookmarkEnd w:id="20"/>
      <w:bookmarkEnd w:id="21"/>
      <w:bookmarkEnd w:id="22"/>
      <w:bookmarkEnd w:id="23"/>
      <w:bookmarkEnd w:id="24"/>
    </w:p>
    <w:p w14:paraId="10F4489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1.2.1 本招标项目的资金来源：</w:t>
      </w:r>
      <w:r>
        <w:rPr>
          <w:rFonts w:hint="eastAsia" w:ascii="宋体" w:hAnsi="宋体" w:eastAsia="宋体" w:cs="宋体"/>
          <w:sz w:val="21"/>
          <w:szCs w:val="21"/>
        </w:rPr>
        <w:t>见</w:t>
      </w:r>
      <w:r>
        <w:rPr>
          <w:rFonts w:hint="eastAsia" w:ascii="宋体" w:hAnsi="宋体" w:eastAsia="宋体" w:cs="宋体"/>
          <w:snapToGrid w:val="0"/>
          <w:kern w:val="0"/>
          <w:sz w:val="21"/>
          <w:szCs w:val="21"/>
        </w:rPr>
        <w:t>投标人须知</w:t>
      </w:r>
      <w:r>
        <w:rPr>
          <w:rFonts w:hint="eastAsia" w:ascii="宋体" w:hAnsi="宋体" w:eastAsia="宋体" w:cs="宋体"/>
          <w:sz w:val="21"/>
          <w:szCs w:val="21"/>
        </w:rPr>
        <w:t>前附表</w:t>
      </w:r>
      <w:r>
        <w:rPr>
          <w:rFonts w:hint="eastAsia" w:ascii="宋体" w:hAnsi="宋体" w:eastAsia="宋体" w:cs="宋体"/>
          <w:color w:val="000000"/>
          <w:sz w:val="21"/>
          <w:szCs w:val="21"/>
        </w:rPr>
        <w:t>。</w:t>
      </w:r>
    </w:p>
    <w:p w14:paraId="18A8901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1.2.2 本招标项目的出资比例：</w:t>
      </w:r>
      <w:r>
        <w:rPr>
          <w:rFonts w:hint="eastAsia" w:ascii="宋体" w:hAnsi="宋体" w:eastAsia="宋体" w:cs="宋体"/>
          <w:sz w:val="21"/>
          <w:szCs w:val="21"/>
        </w:rPr>
        <w:t>见</w:t>
      </w:r>
      <w:r>
        <w:rPr>
          <w:rFonts w:hint="eastAsia" w:ascii="宋体" w:hAnsi="宋体" w:eastAsia="宋体" w:cs="宋体"/>
          <w:snapToGrid w:val="0"/>
          <w:kern w:val="0"/>
          <w:sz w:val="21"/>
          <w:szCs w:val="21"/>
        </w:rPr>
        <w:t>投标人须知</w:t>
      </w:r>
      <w:r>
        <w:rPr>
          <w:rFonts w:hint="eastAsia" w:ascii="宋体" w:hAnsi="宋体" w:eastAsia="宋体" w:cs="宋体"/>
          <w:sz w:val="21"/>
          <w:szCs w:val="21"/>
        </w:rPr>
        <w:t>前附表</w:t>
      </w:r>
      <w:r>
        <w:rPr>
          <w:rFonts w:hint="eastAsia" w:ascii="宋体" w:hAnsi="宋体" w:eastAsia="宋体" w:cs="宋体"/>
          <w:color w:val="000000"/>
          <w:sz w:val="21"/>
          <w:szCs w:val="21"/>
        </w:rPr>
        <w:t>。</w:t>
      </w:r>
    </w:p>
    <w:p w14:paraId="286D670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1.2.3 本招标项目的资金落实情况：</w:t>
      </w:r>
      <w:r>
        <w:rPr>
          <w:rFonts w:hint="eastAsia" w:ascii="宋体" w:hAnsi="宋体" w:eastAsia="宋体" w:cs="宋体"/>
          <w:sz w:val="21"/>
          <w:szCs w:val="21"/>
        </w:rPr>
        <w:t>见</w:t>
      </w:r>
      <w:r>
        <w:rPr>
          <w:rFonts w:hint="eastAsia" w:ascii="宋体" w:hAnsi="宋体" w:eastAsia="宋体" w:cs="宋体"/>
          <w:snapToGrid w:val="0"/>
          <w:kern w:val="0"/>
          <w:sz w:val="21"/>
          <w:szCs w:val="21"/>
        </w:rPr>
        <w:t>投标人须知</w:t>
      </w:r>
      <w:r>
        <w:rPr>
          <w:rFonts w:hint="eastAsia" w:ascii="宋体" w:hAnsi="宋体" w:eastAsia="宋体" w:cs="宋体"/>
          <w:sz w:val="21"/>
          <w:szCs w:val="21"/>
        </w:rPr>
        <w:t>前附表</w:t>
      </w:r>
      <w:r>
        <w:rPr>
          <w:rFonts w:hint="eastAsia" w:ascii="宋体" w:hAnsi="宋体" w:eastAsia="宋体" w:cs="宋体"/>
          <w:color w:val="000000"/>
          <w:sz w:val="21"/>
          <w:szCs w:val="21"/>
        </w:rPr>
        <w:t>。</w:t>
      </w:r>
    </w:p>
    <w:p w14:paraId="6BF5C8D3">
      <w:pPr>
        <w:keepNext/>
        <w:keepLines/>
        <w:spacing w:line="360" w:lineRule="auto"/>
        <w:outlineLvl w:val="2"/>
        <w:rPr>
          <w:rFonts w:hint="eastAsia" w:ascii="宋体" w:hAnsi="宋体" w:eastAsia="宋体" w:cs="宋体"/>
          <w:b/>
          <w:color w:val="000000"/>
          <w:sz w:val="21"/>
          <w:szCs w:val="21"/>
        </w:rPr>
      </w:pPr>
      <w:bookmarkStart w:id="25" w:name="_Toc144974500"/>
      <w:bookmarkStart w:id="26" w:name="_Toc152042308"/>
      <w:bookmarkStart w:id="27" w:name="_Toc152045532"/>
      <w:bookmarkStart w:id="28" w:name="_Toc31209"/>
      <w:bookmarkStart w:id="29" w:name="_Toc179632549"/>
      <w:r>
        <w:rPr>
          <w:rFonts w:hint="eastAsia" w:ascii="宋体" w:hAnsi="宋体" w:eastAsia="宋体" w:cs="宋体"/>
          <w:b/>
          <w:color w:val="000000"/>
          <w:sz w:val="21"/>
          <w:szCs w:val="21"/>
        </w:rPr>
        <w:t>1.3 招标范围、供货安装期和质量要求</w:t>
      </w:r>
      <w:bookmarkEnd w:id="25"/>
      <w:bookmarkEnd w:id="26"/>
      <w:bookmarkEnd w:id="27"/>
      <w:bookmarkEnd w:id="28"/>
      <w:bookmarkEnd w:id="29"/>
    </w:p>
    <w:p w14:paraId="7154A7E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1.3.1 本次招标范围：</w:t>
      </w:r>
      <w:r>
        <w:rPr>
          <w:rFonts w:hint="eastAsia" w:ascii="宋体" w:hAnsi="宋体" w:eastAsia="宋体" w:cs="宋体"/>
          <w:sz w:val="21"/>
          <w:szCs w:val="21"/>
        </w:rPr>
        <w:t>见</w:t>
      </w:r>
      <w:r>
        <w:rPr>
          <w:rFonts w:hint="eastAsia" w:ascii="宋体" w:hAnsi="宋体" w:eastAsia="宋体" w:cs="宋体"/>
          <w:snapToGrid w:val="0"/>
          <w:kern w:val="0"/>
          <w:sz w:val="21"/>
          <w:szCs w:val="21"/>
        </w:rPr>
        <w:t>投标人须知</w:t>
      </w:r>
      <w:r>
        <w:rPr>
          <w:rFonts w:hint="eastAsia" w:ascii="宋体" w:hAnsi="宋体" w:eastAsia="宋体" w:cs="宋体"/>
          <w:sz w:val="21"/>
          <w:szCs w:val="21"/>
        </w:rPr>
        <w:t>前附表</w:t>
      </w:r>
      <w:r>
        <w:rPr>
          <w:rFonts w:hint="eastAsia" w:ascii="宋体" w:hAnsi="宋体" w:eastAsia="宋体" w:cs="宋体"/>
          <w:color w:val="000000"/>
          <w:sz w:val="21"/>
          <w:szCs w:val="21"/>
        </w:rPr>
        <w:t>。</w:t>
      </w:r>
    </w:p>
    <w:p w14:paraId="11943AF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1.3.2 </w:t>
      </w:r>
      <w:r>
        <w:rPr>
          <w:rFonts w:hint="eastAsia" w:ascii="宋体" w:hAnsi="宋体" w:eastAsia="宋体" w:cs="宋体"/>
          <w:snapToGrid w:val="0"/>
          <w:kern w:val="0"/>
          <w:sz w:val="21"/>
          <w:szCs w:val="21"/>
        </w:rPr>
        <w:t>本招标项目的供货安装期要求</w:t>
      </w:r>
      <w:r>
        <w:rPr>
          <w:rFonts w:hint="eastAsia" w:ascii="宋体" w:hAnsi="宋体" w:eastAsia="宋体" w:cs="宋体"/>
          <w:color w:val="000000"/>
          <w:sz w:val="21"/>
          <w:szCs w:val="21"/>
        </w:rPr>
        <w:t>：</w:t>
      </w:r>
      <w:r>
        <w:rPr>
          <w:rFonts w:hint="eastAsia" w:ascii="宋体" w:hAnsi="宋体" w:eastAsia="宋体" w:cs="宋体"/>
          <w:sz w:val="21"/>
          <w:szCs w:val="21"/>
        </w:rPr>
        <w:t>见</w:t>
      </w:r>
      <w:r>
        <w:rPr>
          <w:rFonts w:hint="eastAsia" w:ascii="宋体" w:hAnsi="宋体" w:eastAsia="宋体" w:cs="宋体"/>
          <w:snapToGrid w:val="0"/>
          <w:kern w:val="0"/>
          <w:sz w:val="21"/>
          <w:szCs w:val="21"/>
        </w:rPr>
        <w:t>投标人须知</w:t>
      </w:r>
      <w:r>
        <w:rPr>
          <w:rFonts w:hint="eastAsia" w:ascii="宋体" w:hAnsi="宋体" w:eastAsia="宋体" w:cs="宋体"/>
          <w:sz w:val="21"/>
          <w:szCs w:val="21"/>
        </w:rPr>
        <w:t>前附表</w:t>
      </w:r>
      <w:r>
        <w:rPr>
          <w:rFonts w:hint="eastAsia" w:ascii="宋体" w:hAnsi="宋体" w:eastAsia="宋体" w:cs="宋体"/>
          <w:color w:val="000000"/>
          <w:sz w:val="21"/>
          <w:szCs w:val="21"/>
        </w:rPr>
        <w:t>。</w:t>
      </w:r>
    </w:p>
    <w:p w14:paraId="6D8EEC92">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1.3.3 </w:t>
      </w:r>
      <w:r>
        <w:rPr>
          <w:rFonts w:hint="eastAsia" w:ascii="宋体" w:hAnsi="宋体" w:eastAsia="宋体" w:cs="宋体"/>
          <w:snapToGrid w:val="0"/>
          <w:kern w:val="0"/>
          <w:sz w:val="21"/>
          <w:szCs w:val="21"/>
        </w:rPr>
        <w:t>本招标项目的质量要求</w:t>
      </w:r>
      <w:r>
        <w:rPr>
          <w:rFonts w:hint="eastAsia" w:ascii="宋体" w:hAnsi="宋体" w:eastAsia="宋体" w:cs="宋体"/>
          <w:color w:val="000000"/>
          <w:sz w:val="21"/>
          <w:szCs w:val="21"/>
        </w:rPr>
        <w:t>：</w:t>
      </w:r>
      <w:r>
        <w:rPr>
          <w:rFonts w:hint="eastAsia" w:ascii="宋体" w:hAnsi="宋体" w:eastAsia="宋体" w:cs="宋体"/>
          <w:sz w:val="21"/>
          <w:szCs w:val="21"/>
        </w:rPr>
        <w:t>见</w:t>
      </w:r>
      <w:r>
        <w:rPr>
          <w:rFonts w:hint="eastAsia" w:ascii="宋体" w:hAnsi="宋体" w:eastAsia="宋体" w:cs="宋体"/>
          <w:snapToGrid w:val="0"/>
          <w:kern w:val="0"/>
          <w:sz w:val="21"/>
          <w:szCs w:val="21"/>
        </w:rPr>
        <w:t>投标人须知</w:t>
      </w:r>
      <w:r>
        <w:rPr>
          <w:rFonts w:hint="eastAsia" w:ascii="宋体" w:hAnsi="宋体" w:eastAsia="宋体" w:cs="宋体"/>
          <w:sz w:val="21"/>
          <w:szCs w:val="21"/>
        </w:rPr>
        <w:t>前附表</w:t>
      </w:r>
      <w:r>
        <w:rPr>
          <w:rFonts w:hint="eastAsia" w:ascii="宋体" w:hAnsi="宋体" w:eastAsia="宋体" w:cs="宋体"/>
          <w:color w:val="000000"/>
          <w:sz w:val="21"/>
          <w:szCs w:val="21"/>
        </w:rPr>
        <w:t>。</w:t>
      </w:r>
    </w:p>
    <w:p w14:paraId="4D12A582">
      <w:pPr>
        <w:keepNext/>
        <w:keepLines/>
        <w:spacing w:line="360" w:lineRule="auto"/>
        <w:outlineLvl w:val="2"/>
        <w:rPr>
          <w:rFonts w:hint="eastAsia" w:ascii="宋体" w:hAnsi="宋体" w:eastAsia="宋体" w:cs="宋体"/>
          <w:b/>
          <w:color w:val="000000"/>
          <w:sz w:val="21"/>
          <w:szCs w:val="21"/>
        </w:rPr>
      </w:pPr>
      <w:bookmarkStart w:id="30" w:name="_Toc152042310"/>
      <w:bookmarkStart w:id="31" w:name="_Toc179632551"/>
      <w:bookmarkStart w:id="32" w:name="_Toc22575"/>
      <w:bookmarkStart w:id="33" w:name="_Toc152045534"/>
      <w:bookmarkStart w:id="34" w:name="_Toc144974502"/>
      <w:r>
        <w:rPr>
          <w:rFonts w:hint="eastAsia" w:ascii="宋体" w:hAnsi="宋体" w:eastAsia="宋体" w:cs="宋体"/>
          <w:b/>
          <w:color w:val="000000"/>
          <w:sz w:val="21"/>
          <w:szCs w:val="21"/>
        </w:rPr>
        <w:t>1.4 投标人资格要求</w:t>
      </w:r>
      <w:bookmarkEnd w:id="30"/>
      <w:bookmarkEnd w:id="31"/>
      <w:bookmarkEnd w:id="32"/>
      <w:bookmarkEnd w:id="33"/>
      <w:bookmarkEnd w:id="34"/>
    </w:p>
    <w:p w14:paraId="4C49782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1.4.1 投标人应具备承担本项目施工的资质条件、能力和信誉：见投标人须知前附表。</w:t>
      </w:r>
    </w:p>
    <w:p w14:paraId="0EC67E2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1.4.2 本项目不接受联合体投标。</w:t>
      </w:r>
    </w:p>
    <w:p w14:paraId="1FDEE24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1.4.3 投标人不得存在下列情形之一：</w:t>
      </w:r>
    </w:p>
    <w:p w14:paraId="7FA7E773">
      <w:pPr>
        <w:spacing w:line="360" w:lineRule="auto"/>
        <w:ind w:firstLine="718" w:firstLineChars="34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（1）为采购人不具有独立法人资格的附属机构（单位）； </w:t>
      </w:r>
    </w:p>
    <w:p w14:paraId="5DC501DD">
      <w:pPr>
        <w:spacing w:line="360" w:lineRule="auto"/>
        <w:ind w:firstLine="718" w:firstLineChars="34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（2）为本项目前期准备提供设计或咨询服务的，但设计施工总承包的除外； </w:t>
      </w:r>
    </w:p>
    <w:p w14:paraId="31072BEF">
      <w:pPr>
        <w:spacing w:line="360" w:lineRule="auto"/>
        <w:ind w:firstLine="718" w:firstLineChars="342"/>
        <w:rPr>
          <w:rFonts w:hint="eastAsia" w:ascii="宋体" w:hAnsi="宋体" w:eastAsia="宋体" w:cs="宋体"/>
          <w:color w:val="000000"/>
          <w:sz w:val="21"/>
          <w:szCs w:val="21"/>
        </w:rPr>
      </w:pPr>
      <w:r>
        <w:rPr>
          <w:rFonts w:hint="eastAsia" w:ascii="宋体" w:hAnsi="宋体" w:eastAsia="宋体" w:cs="宋体"/>
          <w:color w:val="000000"/>
          <w:sz w:val="21"/>
          <w:szCs w:val="21"/>
        </w:rPr>
        <w:t>（3）为本项目的监理人；</w:t>
      </w:r>
    </w:p>
    <w:p w14:paraId="0F7DEE13">
      <w:pPr>
        <w:spacing w:line="360" w:lineRule="auto"/>
        <w:ind w:firstLine="718" w:firstLineChars="34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（4）为本项目的代建人； </w:t>
      </w:r>
    </w:p>
    <w:p w14:paraId="5C3FC35C">
      <w:pPr>
        <w:spacing w:line="360" w:lineRule="auto"/>
        <w:ind w:firstLine="718" w:firstLineChars="34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（5）为本项目提供招标代理服务的； </w:t>
      </w:r>
    </w:p>
    <w:p w14:paraId="02821A59">
      <w:pPr>
        <w:spacing w:line="360" w:lineRule="auto"/>
        <w:ind w:firstLine="718" w:firstLineChars="342"/>
        <w:rPr>
          <w:rFonts w:hint="eastAsia" w:ascii="宋体" w:hAnsi="宋体" w:eastAsia="宋体" w:cs="宋体"/>
          <w:color w:val="000000"/>
          <w:sz w:val="21"/>
          <w:szCs w:val="21"/>
        </w:rPr>
      </w:pPr>
      <w:r>
        <w:rPr>
          <w:rFonts w:hint="eastAsia" w:ascii="宋体" w:hAnsi="宋体" w:eastAsia="宋体" w:cs="宋体"/>
          <w:color w:val="000000"/>
          <w:sz w:val="21"/>
          <w:szCs w:val="21"/>
        </w:rPr>
        <w:t>（6）与本项目的监理人或代建人或采购代理机构同为一个法定代表人的；</w:t>
      </w:r>
    </w:p>
    <w:p w14:paraId="01F3AB0A">
      <w:pPr>
        <w:spacing w:line="360" w:lineRule="auto"/>
        <w:ind w:firstLine="718" w:firstLineChars="342"/>
        <w:rPr>
          <w:rFonts w:hint="eastAsia" w:ascii="宋体" w:hAnsi="宋体" w:eastAsia="宋体" w:cs="宋体"/>
          <w:color w:val="000000"/>
          <w:sz w:val="21"/>
          <w:szCs w:val="21"/>
        </w:rPr>
      </w:pPr>
      <w:r>
        <w:rPr>
          <w:rFonts w:hint="eastAsia" w:ascii="宋体" w:hAnsi="宋体" w:eastAsia="宋体" w:cs="宋体"/>
          <w:color w:val="000000"/>
          <w:sz w:val="21"/>
          <w:szCs w:val="21"/>
        </w:rPr>
        <w:t>（7）与本项目的监理人或代建人或采购代理机构相互控股或参股的；</w:t>
      </w:r>
    </w:p>
    <w:p w14:paraId="1099DE34">
      <w:pPr>
        <w:spacing w:line="360" w:lineRule="auto"/>
        <w:ind w:firstLine="718" w:firstLineChars="342"/>
        <w:rPr>
          <w:rFonts w:hint="eastAsia" w:ascii="宋体" w:hAnsi="宋体" w:eastAsia="宋体" w:cs="宋体"/>
          <w:color w:val="000000"/>
          <w:sz w:val="21"/>
          <w:szCs w:val="21"/>
        </w:rPr>
      </w:pPr>
      <w:r>
        <w:rPr>
          <w:rFonts w:hint="eastAsia" w:ascii="宋体" w:hAnsi="宋体" w:eastAsia="宋体" w:cs="宋体"/>
          <w:color w:val="000000"/>
          <w:sz w:val="21"/>
          <w:szCs w:val="21"/>
        </w:rPr>
        <w:t>（8）与本项目的监理人或代建人或采购代理机构相互任职或工作的；</w:t>
      </w:r>
    </w:p>
    <w:p w14:paraId="624AF06E">
      <w:pPr>
        <w:spacing w:line="360" w:lineRule="auto"/>
        <w:ind w:firstLine="718" w:firstLineChars="34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（9）被责令停业的； </w:t>
      </w:r>
    </w:p>
    <w:p w14:paraId="1C3D524C">
      <w:pPr>
        <w:spacing w:line="360" w:lineRule="auto"/>
        <w:ind w:firstLine="718" w:firstLineChars="34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（10）被暂停或取消投标资格的； </w:t>
      </w:r>
    </w:p>
    <w:p w14:paraId="2316F861">
      <w:pPr>
        <w:spacing w:line="360" w:lineRule="auto"/>
        <w:ind w:firstLine="718" w:firstLineChars="342"/>
        <w:rPr>
          <w:rFonts w:hint="eastAsia" w:ascii="宋体" w:hAnsi="宋体" w:eastAsia="宋体" w:cs="宋体"/>
          <w:color w:val="000000"/>
          <w:sz w:val="21"/>
          <w:szCs w:val="21"/>
        </w:rPr>
      </w:pPr>
      <w:r>
        <w:rPr>
          <w:rFonts w:hint="eastAsia" w:ascii="宋体" w:hAnsi="宋体" w:eastAsia="宋体" w:cs="宋体"/>
          <w:color w:val="000000"/>
          <w:sz w:val="21"/>
          <w:szCs w:val="21"/>
        </w:rPr>
        <w:t>（11）财产被接管或冻结的；</w:t>
      </w:r>
    </w:p>
    <w:p w14:paraId="4F1F95E3">
      <w:pPr>
        <w:spacing w:line="360" w:lineRule="auto"/>
        <w:ind w:firstLine="718" w:firstLineChars="342"/>
        <w:rPr>
          <w:rFonts w:hint="eastAsia" w:ascii="宋体" w:hAnsi="宋体" w:eastAsia="宋体" w:cs="宋体"/>
          <w:color w:val="000000"/>
          <w:sz w:val="21"/>
          <w:szCs w:val="21"/>
        </w:rPr>
      </w:pPr>
      <w:r>
        <w:rPr>
          <w:rFonts w:hint="eastAsia" w:ascii="宋体" w:hAnsi="宋体" w:eastAsia="宋体" w:cs="宋体"/>
          <w:color w:val="000000"/>
          <w:sz w:val="21"/>
          <w:szCs w:val="21"/>
        </w:rPr>
        <w:t>（12）在最近三年内有骗取中标或严重违约或重大工程质量问题的。</w:t>
      </w:r>
    </w:p>
    <w:p w14:paraId="25DD465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1.4.4单位负责人为同一人或者存在控股、管理关系的不同单位，不得同时参加本招标项目投标。</w:t>
      </w:r>
    </w:p>
    <w:p w14:paraId="3097EBF4">
      <w:pPr>
        <w:spacing w:line="360" w:lineRule="auto"/>
        <w:outlineLvl w:val="2"/>
        <w:rPr>
          <w:rFonts w:hint="eastAsia" w:ascii="宋体" w:hAnsi="宋体" w:eastAsia="宋体" w:cs="宋体"/>
          <w:b/>
          <w:sz w:val="21"/>
          <w:szCs w:val="21"/>
        </w:rPr>
      </w:pPr>
      <w:r>
        <w:rPr>
          <w:rFonts w:hint="eastAsia" w:ascii="宋体" w:hAnsi="宋体" w:eastAsia="宋体" w:cs="宋体"/>
          <w:b/>
          <w:sz w:val="21"/>
          <w:szCs w:val="21"/>
        </w:rPr>
        <w:t>1.5 费用承担</w:t>
      </w:r>
    </w:p>
    <w:p w14:paraId="478BF03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投标人准备和参加投标活动发生的费用自理。</w:t>
      </w:r>
    </w:p>
    <w:p w14:paraId="3F3C3FBE">
      <w:pPr>
        <w:spacing w:line="360" w:lineRule="auto"/>
        <w:outlineLvl w:val="2"/>
        <w:rPr>
          <w:rFonts w:hint="eastAsia" w:ascii="宋体" w:hAnsi="宋体" w:eastAsia="宋体" w:cs="宋体"/>
          <w:b/>
          <w:sz w:val="21"/>
          <w:szCs w:val="21"/>
        </w:rPr>
      </w:pPr>
      <w:bookmarkStart w:id="35" w:name="_Toc144974505"/>
      <w:bookmarkStart w:id="36" w:name="_Toc152045537"/>
      <w:bookmarkStart w:id="37" w:name="_Toc179632554"/>
      <w:bookmarkStart w:id="38" w:name="_Toc152042313"/>
      <w:bookmarkStart w:id="39" w:name="_Toc292897312"/>
      <w:r>
        <w:rPr>
          <w:rFonts w:hint="eastAsia" w:ascii="宋体" w:hAnsi="宋体" w:eastAsia="宋体" w:cs="宋体"/>
          <w:b/>
          <w:sz w:val="21"/>
          <w:szCs w:val="21"/>
        </w:rPr>
        <w:t>1.6保密</w:t>
      </w:r>
    </w:p>
    <w:p w14:paraId="7CB7DDD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参与招标投标活动的各方应对招标文件和投标文件中的商业和技术等秘密保密，违者应对由此造成的后果承担法律责任。 </w:t>
      </w:r>
    </w:p>
    <w:p w14:paraId="3736756B">
      <w:pPr>
        <w:spacing w:line="360" w:lineRule="auto"/>
        <w:outlineLvl w:val="2"/>
        <w:rPr>
          <w:rFonts w:hint="eastAsia" w:ascii="宋体" w:hAnsi="宋体" w:eastAsia="宋体" w:cs="宋体"/>
          <w:b/>
          <w:sz w:val="21"/>
          <w:szCs w:val="21"/>
        </w:rPr>
      </w:pPr>
      <w:r>
        <w:rPr>
          <w:rFonts w:hint="eastAsia" w:ascii="宋体" w:hAnsi="宋体" w:eastAsia="宋体" w:cs="宋体"/>
          <w:b/>
          <w:sz w:val="21"/>
          <w:szCs w:val="21"/>
        </w:rPr>
        <w:t>1.7语言</w:t>
      </w:r>
      <w:bookmarkEnd w:id="35"/>
      <w:r>
        <w:rPr>
          <w:rFonts w:hint="eastAsia" w:ascii="宋体" w:hAnsi="宋体" w:eastAsia="宋体" w:cs="宋体"/>
          <w:b/>
          <w:sz w:val="21"/>
          <w:szCs w:val="21"/>
        </w:rPr>
        <w:t>文字</w:t>
      </w:r>
      <w:bookmarkEnd w:id="36"/>
      <w:bookmarkEnd w:id="37"/>
      <w:bookmarkEnd w:id="38"/>
      <w:bookmarkEnd w:id="39"/>
    </w:p>
    <w:p w14:paraId="24C7CC6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除专用术语外，与招标投标有关的语言均使用中文。必要时专用术语应附有中文注释。</w:t>
      </w:r>
    </w:p>
    <w:p w14:paraId="603D6EDF">
      <w:pPr>
        <w:spacing w:line="360" w:lineRule="auto"/>
        <w:outlineLvl w:val="2"/>
        <w:rPr>
          <w:rFonts w:hint="eastAsia" w:ascii="宋体" w:hAnsi="宋体" w:eastAsia="宋体" w:cs="宋体"/>
          <w:b/>
          <w:sz w:val="21"/>
          <w:szCs w:val="21"/>
        </w:rPr>
      </w:pPr>
      <w:bookmarkStart w:id="40" w:name="_Toc152045538"/>
      <w:bookmarkStart w:id="41" w:name="_Toc179632555"/>
      <w:bookmarkStart w:id="42" w:name="_Toc292897313"/>
      <w:bookmarkStart w:id="43" w:name="_Toc152042314"/>
      <w:bookmarkStart w:id="44" w:name="_Toc144974506"/>
      <w:r>
        <w:rPr>
          <w:rFonts w:hint="eastAsia" w:ascii="宋体" w:hAnsi="宋体" w:eastAsia="宋体" w:cs="宋体"/>
          <w:b/>
          <w:sz w:val="21"/>
          <w:szCs w:val="21"/>
        </w:rPr>
        <w:t>1.8 计量单位</w:t>
      </w:r>
      <w:bookmarkEnd w:id="40"/>
      <w:bookmarkEnd w:id="41"/>
      <w:bookmarkEnd w:id="42"/>
      <w:bookmarkEnd w:id="43"/>
      <w:bookmarkEnd w:id="44"/>
    </w:p>
    <w:p w14:paraId="5B83B1C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所有计量均采用中华人民共和国法定计量单位。</w:t>
      </w:r>
    </w:p>
    <w:p w14:paraId="39D8204B">
      <w:pPr>
        <w:spacing w:line="360" w:lineRule="auto"/>
        <w:outlineLvl w:val="2"/>
        <w:rPr>
          <w:rFonts w:hint="eastAsia" w:ascii="宋体" w:hAnsi="宋体" w:eastAsia="宋体" w:cs="宋体"/>
          <w:sz w:val="21"/>
          <w:szCs w:val="21"/>
        </w:rPr>
      </w:pPr>
      <w:bookmarkStart w:id="45" w:name="_Toc179632556"/>
      <w:bookmarkStart w:id="46" w:name="_Toc152045539"/>
      <w:bookmarkStart w:id="47" w:name="_Toc144974507"/>
      <w:bookmarkStart w:id="48" w:name="_Toc292897314"/>
      <w:bookmarkStart w:id="49" w:name="_Toc152042315"/>
      <w:r>
        <w:rPr>
          <w:rFonts w:hint="eastAsia" w:ascii="宋体" w:hAnsi="宋体" w:eastAsia="宋体" w:cs="宋体"/>
          <w:b/>
          <w:sz w:val="21"/>
          <w:szCs w:val="21"/>
        </w:rPr>
        <w:t>1.9 踏勘现场</w:t>
      </w:r>
      <w:bookmarkEnd w:id="45"/>
      <w:bookmarkEnd w:id="46"/>
      <w:bookmarkEnd w:id="47"/>
      <w:bookmarkEnd w:id="48"/>
      <w:bookmarkEnd w:id="49"/>
      <w:r>
        <w:rPr>
          <w:rFonts w:hint="eastAsia" w:ascii="宋体" w:hAnsi="宋体" w:eastAsia="宋体" w:cs="宋体"/>
          <w:b/>
          <w:sz w:val="21"/>
          <w:szCs w:val="21"/>
        </w:rPr>
        <w:t>（不适用本项目）</w:t>
      </w:r>
    </w:p>
    <w:p w14:paraId="5C3219E8">
      <w:pPr>
        <w:spacing w:line="360" w:lineRule="auto"/>
        <w:ind w:firstLine="420" w:firstLineChars="200"/>
        <w:rPr>
          <w:rFonts w:hint="eastAsia" w:ascii="宋体" w:hAnsi="宋体" w:eastAsia="宋体" w:cs="宋体"/>
          <w:sz w:val="21"/>
          <w:szCs w:val="21"/>
        </w:rPr>
      </w:pPr>
      <w:bookmarkStart w:id="50" w:name="_Toc152042316"/>
      <w:bookmarkStart w:id="51" w:name="_Toc152045540"/>
      <w:bookmarkStart w:id="52" w:name="_Toc144974508"/>
      <w:bookmarkStart w:id="53" w:name="_Toc179632557"/>
      <w:bookmarkStart w:id="54" w:name="_Toc292897315"/>
      <w:r>
        <w:rPr>
          <w:rFonts w:hint="eastAsia" w:ascii="宋体" w:hAnsi="宋体" w:eastAsia="宋体" w:cs="宋体"/>
          <w:sz w:val="21"/>
          <w:szCs w:val="21"/>
        </w:rPr>
        <w:t>1.9.1 投标人须知前附表规定组织踏勘现场的，采购人按投标人须知前附表规定的时间、地点组织投标人踏勘项目现场。</w:t>
      </w:r>
    </w:p>
    <w:p w14:paraId="1D7DAAA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1.9.2 投标人踏勘现场发生的费用自理。</w:t>
      </w:r>
    </w:p>
    <w:p w14:paraId="51C0C58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1.9.3 除采购人的原因外，投标人自行负责在踏勘现场中所发生的人员伤亡和财产损失。</w:t>
      </w:r>
    </w:p>
    <w:p w14:paraId="1DCD201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1.9.4 采购人在踏勘现场中介绍的工程场地和相关的周边环境情况，投标人在编制投标文件时参考，采购人不对投标人据此作出的判断和决策负责。</w:t>
      </w:r>
    </w:p>
    <w:p w14:paraId="381F48B5">
      <w:pPr>
        <w:spacing w:line="360" w:lineRule="auto"/>
        <w:outlineLvl w:val="2"/>
        <w:rPr>
          <w:rFonts w:hint="eastAsia" w:ascii="宋体" w:hAnsi="宋体" w:eastAsia="宋体" w:cs="宋体"/>
          <w:b/>
          <w:sz w:val="21"/>
          <w:szCs w:val="21"/>
        </w:rPr>
      </w:pPr>
      <w:r>
        <w:rPr>
          <w:rFonts w:hint="eastAsia" w:ascii="宋体" w:hAnsi="宋体" w:eastAsia="宋体" w:cs="宋体"/>
          <w:b/>
          <w:sz w:val="21"/>
          <w:szCs w:val="21"/>
        </w:rPr>
        <w:t>1.10投标预备会</w:t>
      </w:r>
      <w:bookmarkEnd w:id="50"/>
      <w:bookmarkEnd w:id="51"/>
      <w:bookmarkEnd w:id="52"/>
      <w:bookmarkEnd w:id="53"/>
      <w:bookmarkEnd w:id="54"/>
      <w:r>
        <w:rPr>
          <w:rFonts w:hint="eastAsia" w:ascii="宋体" w:hAnsi="宋体" w:eastAsia="宋体" w:cs="宋体"/>
          <w:b/>
          <w:sz w:val="21"/>
          <w:szCs w:val="21"/>
        </w:rPr>
        <w:t>（不适用本项目）</w:t>
      </w:r>
    </w:p>
    <w:p w14:paraId="218A584B">
      <w:pPr>
        <w:spacing w:line="360" w:lineRule="auto"/>
        <w:ind w:firstLine="420" w:firstLineChars="200"/>
        <w:rPr>
          <w:rFonts w:hint="eastAsia" w:ascii="宋体" w:hAnsi="宋体" w:eastAsia="宋体" w:cs="宋体"/>
          <w:sz w:val="21"/>
          <w:szCs w:val="21"/>
        </w:rPr>
      </w:pPr>
      <w:bookmarkStart w:id="55" w:name="_Toc179632559"/>
      <w:r>
        <w:rPr>
          <w:rFonts w:hint="eastAsia" w:ascii="宋体" w:hAnsi="宋体" w:eastAsia="宋体" w:cs="宋体"/>
          <w:sz w:val="21"/>
          <w:szCs w:val="21"/>
        </w:rPr>
        <w:t>1.10.1 投标人须知前附表规定召开投标预备会的，采购人按投标人须知前附表规定的时间和地点召开投标预备会，澄清投标人提出的问题。</w:t>
      </w:r>
    </w:p>
    <w:p w14:paraId="6313499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1.10.2 投标人应在投标人须知前附表规定的时间前，以书面形式将提出的问题送达采购人，以便采购人在会议期间澄清。</w:t>
      </w:r>
    </w:p>
    <w:p w14:paraId="21AEFC7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1.10.3 投标预备会后，采购人在投标人须知前附表规定的时间内，将对投标人所提问题的澄清，以书面方式通知所有购买招标文件的投标人。该澄清内容为招标文件的组成部分。</w:t>
      </w:r>
    </w:p>
    <w:p w14:paraId="4DE14608">
      <w:pPr>
        <w:spacing w:line="360" w:lineRule="auto"/>
        <w:outlineLvl w:val="2"/>
        <w:rPr>
          <w:rFonts w:hint="eastAsia" w:ascii="宋体" w:hAnsi="宋体" w:eastAsia="宋体" w:cs="宋体"/>
          <w:b/>
          <w:sz w:val="21"/>
          <w:szCs w:val="21"/>
        </w:rPr>
      </w:pPr>
      <w:r>
        <w:rPr>
          <w:rFonts w:hint="eastAsia" w:ascii="宋体" w:hAnsi="宋体" w:eastAsia="宋体" w:cs="宋体"/>
          <w:b/>
          <w:sz w:val="21"/>
          <w:szCs w:val="21"/>
        </w:rPr>
        <w:t>1.11分包（不适用本项目）</w:t>
      </w:r>
    </w:p>
    <w:p w14:paraId="4807145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投标人拟在中标后将中标项目的部分非主体、非关键性工作进行分包的，应符合投标人须知前附表规定的分包内容、分包金额和接受分包的第三人资质要求等限制性条件。</w:t>
      </w:r>
    </w:p>
    <w:p w14:paraId="1BCA1111">
      <w:pPr>
        <w:spacing w:line="360" w:lineRule="auto"/>
        <w:outlineLvl w:val="2"/>
        <w:rPr>
          <w:rFonts w:hint="eastAsia" w:ascii="宋体" w:hAnsi="宋体" w:eastAsia="宋体" w:cs="宋体"/>
          <w:b/>
          <w:sz w:val="21"/>
          <w:szCs w:val="21"/>
        </w:rPr>
      </w:pPr>
      <w:r>
        <w:rPr>
          <w:rFonts w:hint="eastAsia" w:ascii="宋体" w:hAnsi="宋体" w:eastAsia="宋体" w:cs="宋体"/>
          <w:b/>
          <w:sz w:val="21"/>
          <w:szCs w:val="21"/>
        </w:rPr>
        <w:t>1.12偏离</w:t>
      </w:r>
    </w:p>
    <w:bookmarkEnd w:id="55"/>
    <w:p w14:paraId="75D3E71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投标人须知前附表允许投标文件偏离招标文件某些要求的，偏离应当符合招标文件规定的偏离范围和幅度。</w:t>
      </w:r>
    </w:p>
    <w:p w14:paraId="6F9F1AA5">
      <w:pPr>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t>2．招标文件</w:t>
      </w:r>
    </w:p>
    <w:p w14:paraId="19941CC2">
      <w:pPr>
        <w:spacing w:line="360" w:lineRule="auto"/>
        <w:outlineLvl w:val="2"/>
        <w:rPr>
          <w:rFonts w:hint="eastAsia" w:ascii="宋体" w:hAnsi="宋体" w:eastAsia="宋体" w:cs="宋体"/>
          <w:b/>
          <w:sz w:val="21"/>
          <w:szCs w:val="21"/>
        </w:rPr>
      </w:pPr>
      <w:bookmarkStart w:id="56" w:name="_Toc292897317"/>
      <w:bookmarkStart w:id="57" w:name="_Toc152042319"/>
      <w:bookmarkStart w:id="58" w:name="_Toc152045543"/>
      <w:bookmarkStart w:id="59" w:name="_Toc179632561"/>
      <w:bookmarkStart w:id="60" w:name="_Toc144974511"/>
      <w:r>
        <w:rPr>
          <w:rFonts w:hint="eastAsia" w:ascii="宋体" w:hAnsi="宋体" w:eastAsia="宋体" w:cs="宋体"/>
          <w:b/>
          <w:sz w:val="21"/>
          <w:szCs w:val="21"/>
        </w:rPr>
        <w:t>2.1 招标文件的组成</w:t>
      </w:r>
      <w:bookmarkEnd w:id="56"/>
      <w:bookmarkEnd w:id="57"/>
      <w:bookmarkEnd w:id="58"/>
      <w:bookmarkEnd w:id="59"/>
      <w:bookmarkEnd w:id="60"/>
    </w:p>
    <w:p w14:paraId="0B5771A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本招标文件包括：</w:t>
      </w:r>
    </w:p>
    <w:p w14:paraId="3370079D">
      <w:pPr>
        <w:overflowPunct w:val="0"/>
        <w:topLinePunct/>
        <w:spacing w:line="360" w:lineRule="auto"/>
        <w:ind w:firstLine="420" w:firstLineChars="200"/>
        <w:textAlignment w:val="top"/>
        <w:rPr>
          <w:rFonts w:hint="eastAsia" w:ascii="宋体" w:hAnsi="宋体" w:eastAsia="宋体" w:cs="宋体"/>
          <w:snapToGrid w:val="0"/>
          <w:color w:val="000000"/>
          <w:kern w:val="0"/>
          <w:sz w:val="21"/>
          <w:szCs w:val="21"/>
        </w:rPr>
      </w:pPr>
      <w:r>
        <w:rPr>
          <w:rFonts w:hint="eastAsia" w:ascii="宋体" w:hAnsi="宋体" w:eastAsia="宋体" w:cs="宋体"/>
          <w:sz w:val="21"/>
          <w:szCs w:val="21"/>
        </w:rPr>
        <w:t>(</w:t>
      </w:r>
      <w:r>
        <w:rPr>
          <w:rFonts w:hint="eastAsia" w:ascii="宋体" w:hAnsi="宋体" w:eastAsia="宋体" w:cs="宋体"/>
          <w:snapToGrid w:val="0"/>
          <w:color w:val="000000"/>
          <w:kern w:val="0"/>
          <w:sz w:val="21"/>
          <w:szCs w:val="21"/>
        </w:rPr>
        <w:t>1)</w:t>
      </w:r>
      <w:r>
        <w:rPr>
          <w:rFonts w:hint="eastAsia" w:ascii="宋体" w:hAnsi="宋体" w:cs="宋体"/>
          <w:snapToGrid w:val="0"/>
          <w:color w:val="000000"/>
          <w:kern w:val="0"/>
          <w:sz w:val="21"/>
          <w:szCs w:val="21"/>
          <w:lang w:val="en-US" w:eastAsia="zh-CN"/>
        </w:rPr>
        <w:t>招标</w:t>
      </w:r>
      <w:r>
        <w:rPr>
          <w:rFonts w:hint="eastAsia" w:ascii="宋体" w:hAnsi="宋体" w:eastAsia="宋体" w:cs="宋体"/>
          <w:snapToGrid w:val="0"/>
          <w:color w:val="000000"/>
          <w:kern w:val="0"/>
          <w:sz w:val="21"/>
          <w:szCs w:val="21"/>
        </w:rPr>
        <w:t>公告</w:t>
      </w:r>
    </w:p>
    <w:p w14:paraId="585860F9">
      <w:pPr>
        <w:overflowPunct w:val="0"/>
        <w:topLinePunct/>
        <w:spacing w:line="360" w:lineRule="auto"/>
        <w:ind w:firstLine="420" w:firstLineChars="200"/>
        <w:textAlignment w:val="top"/>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(2)</w:t>
      </w:r>
      <w:r>
        <w:rPr>
          <w:rFonts w:hint="eastAsia" w:ascii="宋体" w:hAnsi="宋体" w:cs="宋体"/>
          <w:snapToGrid w:val="0"/>
          <w:color w:val="000000"/>
          <w:kern w:val="0"/>
          <w:sz w:val="21"/>
          <w:szCs w:val="21"/>
          <w:lang w:val="en-US" w:eastAsia="zh-CN"/>
        </w:rPr>
        <w:t>投标人</w:t>
      </w:r>
      <w:r>
        <w:rPr>
          <w:rFonts w:hint="eastAsia" w:ascii="宋体" w:hAnsi="宋体" w:eastAsia="宋体" w:cs="宋体"/>
          <w:snapToGrid w:val="0"/>
          <w:color w:val="000000"/>
          <w:kern w:val="0"/>
          <w:sz w:val="21"/>
          <w:szCs w:val="21"/>
        </w:rPr>
        <w:t>须知</w:t>
      </w:r>
    </w:p>
    <w:p w14:paraId="51A464B8">
      <w:pPr>
        <w:overflowPunct w:val="0"/>
        <w:topLinePunct/>
        <w:spacing w:line="360" w:lineRule="auto"/>
        <w:ind w:firstLine="420" w:firstLineChars="200"/>
        <w:textAlignment w:val="top"/>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(3)</w:t>
      </w:r>
      <w:r>
        <w:rPr>
          <w:rFonts w:hint="eastAsia" w:ascii="宋体" w:hAnsi="宋体" w:cs="宋体"/>
          <w:snapToGrid w:val="0"/>
          <w:color w:val="000000"/>
          <w:kern w:val="0"/>
          <w:sz w:val="21"/>
          <w:szCs w:val="21"/>
          <w:lang w:val="en-US" w:eastAsia="zh-CN"/>
        </w:rPr>
        <w:t>评标</w:t>
      </w:r>
      <w:r>
        <w:rPr>
          <w:rFonts w:hint="eastAsia" w:ascii="宋体" w:hAnsi="宋体" w:eastAsia="宋体" w:cs="宋体"/>
          <w:snapToGrid w:val="0"/>
          <w:color w:val="000000"/>
          <w:kern w:val="0"/>
          <w:sz w:val="21"/>
          <w:szCs w:val="21"/>
        </w:rPr>
        <w:t>办法</w:t>
      </w:r>
    </w:p>
    <w:p w14:paraId="558CA942">
      <w:pPr>
        <w:overflowPunct w:val="0"/>
        <w:topLinePunct/>
        <w:spacing w:line="360" w:lineRule="auto"/>
        <w:ind w:firstLine="420" w:firstLineChars="200"/>
        <w:textAlignment w:val="top"/>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(4)合同条款及格式</w:t>
      </w:r>
    </w:p>
    <w:p w14:paraId="47E8745A">
      <w:pPr>
        <w:overflowPunct w:val="0"/>
        <w:topLinePunct/>
        <w:spacing w:line="360" w:lineRule="auto"/>
        <w:ind w:firstLine="420" w:firstLineChars="200"/>
        <w:textAlignment w:val="top"/>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(5)采购内容及要求</w:t>
      </w:r>
    </w:p>
    <w:p w14:paraId="40D054D8">
      <w:pPr>
        <w:overflowPunct w:val="0"/>
        <w:topLinePunct/>
        <w:spacing w:line="360" w:lineRule="auto"/>
        <w:ind w:firstLine="420" w:firstLineChars="200"/>
        <w:textAlignment w:val="top"/>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（6）采购项目清单</w:t>
      </w:r>
    </w:p>
    <w:p w14:paraId="67A2EA04">
      <w:pPr>
        <w:overflowPunct w:val="0"/>
        <w:topLinePunct/>
        <w:spacing w:line="360" w:lineRule="auto"/>
        <w:ind w:firstLine="420" w:firstLineChars="200"/>
        <w:textAlignment w:val="top"/>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w:t>
      </w:r>
      <w:r>
        <w:rPr>
          <w:rFonts w:hint="eastAsia" w:ascii="宋体" w:hAnsi="宋体" w:eastAsia="宋体" w:cs="宋体"/>
          <w:snapToGrid w:val="0"/>
          <w:color w:val="000000"/>
          <w:kern w:val="0"/>
          <w:sz w:val="21"/>
          <w:szCs w:val="21"/>
          <w:lang w:val="en-US" w:eastAsia="zh-CN"/>
        </w:rPr>
        <w:t>7</w:t>
      </w:r>
      <w:r>
        <w:rPr>
          <w:rFonts w:hint="eastAsia" w:ascii="宋体" w:hAnsi="宋体" w:eastAsia="宋体" w:cs="宋体"/>
          <w:snapToGrid w:val="0"/>
          <w:color w:val="000000"/>
          <w:kern w:val="0"/>
          <w:sz w:val="21"/>
          <w:szCs w:val="21"/>
        </w:rPr>
        <w:t>)响应文件格式</w:t>
      </w:r>
    </w:p>
    <w:p w14:paraId="5916352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采购人按本章第2.2款规定对招标文件所作的澄清、修改等构成招标文件的组成部分。</w:t>
      </w:r>
    </w:p>
    <w:p w14:paraId="454E725F">
      <w:pPr>
        <w:spacing w:line="360" w:lineRule="auto"/>
        <w:outlineLvl w:val="2"/>
        <w:rPr>
          <w:rFonts w:hint="eastAsia" w:ascii="宋体" w:hAnsi="宋体" w:eastAsia="宋体" w:cs="宋体"/>
          <w:b/>
          <w:sz w:val="21"/>
          <w:szCs w:val="21"/>
        </w:rPr>
      </w:pPr>
      <w:bookmarkStart w:id="61" w:name="_Toc144974512"/>
      <w:bookmarkStart w:id="62" w:name="_Toc179632562"/>
      <w:bookmarkStart w:id="63" w:name="_Toc292897318"/>
      <w:bookmarkStart w:id="64" w:name="_Toc152045544"/>
      <w:bookmarkStart w:id="65" w:name="_Toc152042320"/>
      <w:r>
        <w:rPr>
          <w:rFonts w:hint="eastAsia" w:ascii="宋体" w:hAnsi="宋体" w:eastAsia="宋体" w:cs="宋体"/>
          <w:b/>
          <w:sz w:val="21"/>
          <w:szCs w:val="21"/>
        </w:rPr>
        <w:t>2.2 招标文件的澄清</w:t>
      </w:r>
      <w:bookmarkEnd w:id="61"/>
      <w:bookmarkEnd w:id="62"/>
      <w:bookmarkEnd w:id="63"/>
      <w:bookmarkEnd w:id="64"/>
      <w:bookmarkEnd w:id="65"/>
      <w:r>
        <w:rPr>
          <w:rFonts w:hint="eastAsia" w:ascii="宋体" w:hAnsi="宋体" w:eastAsia="宋体" w:cs="宋体"/>
          <w:b/>
          <w:sz w:val="21"/>
          <w:szCs w:val="21"/>
        </w:rPr>
        <w:t>、修改</w:t>
      </w:r>
    </w:p>
    <w:p w14:paraId="1F0A7F5E">
      <w:pPr>
        <w:spacing w:line="360" w:lineRule="auto"/>
        <w:ind w:firstLine="420" w:firstLineChars="200"/>
        <w:rPr>
          <w:rFonts w:hint="eastAsia" w:ascii="宋体" w:hAnsi="宋体" w:eastAsia="宋体" w:cs="宋体"/>
          <w:sz w:val="21"/>
          <w:szCs w:val="21"/>
        </w:rPr>
      </w:pPr>
      <w:bookmarkStart w:id="66" w:name="_Toc152045545"/>
      <w:bookmarkStart w:id="67" w:name="_Toc292897319"/>
      <w:bookmarkStart w:id="68" w:name="_Toc152042321"/>
      <w:bookmarkStart w:id="69" w:name="_Toc179632563"/>
      <w:bookmarkStart w:id="70" w:name="_Toc144974513"/>
      <w:r>
        <w:rPr>
          <w:rFonts w:hint="eastAsia" w:ascii="宋体" w:hAnsi="宋体" w:eastAsia="宋体" w:cs="宋体"/>
          <w:sz w:val="21"/>
          <w:szCs w:val="21"/>
        </w:rPr>
        <w:t>2.2.1投标人应仔细阅读和检查招标文件的全部内容。如发现缺页或附件不全，应及时在电子交易系统中提出，以便补齐。如有疑问，应在投标人须知前附表规定的时间前在电子交易系统中提出，要求采购人对招标文件予以澄清。</w:t>
      </w:r>
    </w:p>
    <w:p w14:paraId="1B66D30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2.2.2 招标文件的澄清将在投标人须知前附表规定的投标截止时间前5天在电子交易系统中以澄清形式公示，但不指明澄清问题的来源，如果澄清发出的时间距投标截止时间不足5天，相应延长投标截止时间。</w:t>
      </w:r>
    </w:p>
    <w:p w14:paraId="569D257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2.2.3投标截止时间5天前，采购人可在电子交易系统中修改招标文件并公示，如果修改招标文件的时间距投标截止时间不足5天，相应延长投标截止时间。</w:t>
      </w:r>
    </w:p>
    <w:p w14:paraId="4A1D154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2.2.4招标文件的澄清、修改、补充等内容均以电子交易系统中明确的内容为准。当招标文件、招标文件的澄清、修改、补充等在同一内容的表述不一致时，以最后在电子交易系统中发出的招标文件为准。</w:t>
      </w:r>
    </w:p>
    <w:bookmarkEnd w:id="66"/>
    <w:bookmarkEnd w:id="67"/>
    <w:bookmarkEnd w:id="68"/>
    <w:bookmarkEnd w:id="69"/>
    <w:bookmarkEnd w:id="70"/>
    <w:p w14:paraId="465989EF">
      <w:pPr>
        <w:spacing w:line="360" w:lineRule="auto"/>
        <w:outlineLvl w:val="1"/>
        <w:rPr>
          <w:rFonts w:hint="eastAsia" w:ascii="宋体" w:hAnsi="宋体" w:eastAsia="宋体" w:cs="宋体"/>
          <w:b/>
          <w:sz w:val="21"/>
          <w:szCs w:val="21"/>
        </w:rPr>
      </w:pPr>
      <w:bookmarkStart w:id="71" w:name="_Toc152045546"/>
      <w:bookmarkStart w:id="72" w:name="_Toc179632564"/>
      <w:bookmarkStart w:id="73" w:name="_Toc144974514"/>
      <w:bookmarkStart w:id="74" w:name="_Toc292897320"/>
      <w:bookmarkStart w:id="75" w:name="_Toc152042322"/>
      <w:r>
        <w:rPr>
          <w:rFonts w:hint="eastAsia" w:ascii="宋体" w:hAnsi="宋体" w:eastAsia="宋体" w:cs="宋体"/>
          <w:b/>
          <w:sz w:val="21"/>
          <w:szCs w:val="21"/>
        </w:rPr>
        <w:t>3．投标文件</w:t>
      </w:r>
      <w:bookmarkEnd w:id="71"/>
      <w:bookmarkEnd w:id="72"/>
      <w:bookmarkEnd w:id="73"/>
      <w:bookmarkEnd w:id="74"/>
      <w:bookmarkEnd w:id="75"/>
    </w:p>
    <w:p w14:paraId="1B331D85">
      <w:pPr>
        <w:spacing w:line="360" w:lineRule="auto"/>
        <w:outlineLvl w:val="2"/>
        <w:rPr>
          <w:rFonts w:hint="eastAsia" w:ascii="宋体" w:hAnsi="宋体" w:eastAsia="宋体" w:cs="宋体"/>
          <w:b/>
          <w:sz w:val="21"/>
          <w:szCs w:val="21"/>
        </w:rPr>
      </w:pPr>
      <w:bookmarkStart w:id="76" w:name="_Toc179632565"/>
      <w:bookmarkStart w:id="77" w:name="_Toc152045547"/>
      <w:bookmarkStart w:id="78" w:name="_Toc152042323"/>
      <w:bookmarkStart w:id="79" w:name="_Toc144974515"/>
      <w:bookmarkStart w:id="80" w:name="_Toc292897322"/>
      <w:r>
        <w:rPr>
          <w:rFonts w:hint="eastAsia" w:ascii="宋体" w:hAnsi="宋体" w:eastAsia="宋体" w:cs="宋体"/>
          <w:b/>
          <w:sz w:val="21"/>
          <w:szCs w:val="21"/>
        </w:rPr>
        <w:t>3.1 投标文件的组成</w:t>
      </w:r>
      <w:bookmarkEnd w:id="76"/>
      <w:bookmarkEnd w:id="77"/>
      <w:bookmarkEnd w:id="78"/>
      <w:bookmarkEnd w:id="79"/>
      <w:bookmarkEnd w:id="80"/>
    </w:p>
    <w:p w14:paraId="050C91D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3.1.1投标文件应包括下列内容：</w:t>
      </w:r>
    </w:p>
    <w:p w14:paraId="228FC783">
      <w:pPr>
        <w:spacing w:line="360" w:lineRule="auto"/>
        <w:ind w:firstLine="420" w:firstLineChars="200"/>
        <w:rPr>
          <w:rFonts w:hint="eastAsia" w:ascii="宋体" w:hAnsi="宋体" w:eastAsia="宋体" w:cs="宋体"/>
          <w:sz w:val="21"/>
          <w:szCs w:val="21"/>
        </w:rPr>
      </w:pPr>
      <w:bookmarkStart w:id="81" w:name="_Toc144974516"/>
      <w:bookmarkStart w:id="82" w:name="_Toc292897323"/>
      <w:bookmarkStart w:id="83" w:name="_Toc152042324"/>
      <w:bookmarkStart w:id="84" w:name="_Toc179632566"/>
      <w:bookmarkStart w:id="85" w:name="_Toc152045548"/>
      <w:r>
        <w:rPr>
          <w:rFonts w:hint="eastAsia" w:ascii="宋体" w:hAnsi="宋体" w:eastAsia="宋体" w:cs="宋体"/>
          <w:sz w:val="21"/>
          <w:szCs w:val="21"/>
        </w:rPr>
        <w:t>（1）投标函及投标函附录；</w:t>
      </w:r>
    </w:p>
    <w:p w14:paraId="57CED1A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（2）法定代表人身份证明</w:t>
      </w:r>
    </w:p>
    <w:p w14:paraId="5E0BAC3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（3）授权委托书；</w:t>
      </w:r>
    </w:p>
    <w:p w14:paraId="37261D8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（4）分项明细报价表；</w:t>
      </w:r>
    </w:p>
    <w:p w14:paraId="1D79B59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（5）技术要求响应偏离表； </w:t>
      </w:r>
    </w:p>
    <w:p w14:paraId="59FB3FF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（6）资格审查资料；</w:t>
      </w:r>
    </w:p>
    <w:p w14:paraId="5E41AD4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（7）技术部分；</w:t>
      </w:r>
    </w:p>
    <w:p w14:paraId="5FE3579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（8）其他资料。</w:t>
      </w:r>
    </w:p>
    <w:p w14:paraId="450D2748">
      <w:pPr>
        <w:spacing w:line="360" w:lineRule="auto"/>
        <w:outlineLvl w:val="2"/>
        <w:rPr>
          <w:rFonts w:hint="eastAsia" w:ascii="宋体" w:hAnsi="宋体" w:eastAsia="宋体" w:cs="宋体"/>
          <w:b/>
          <w:sz w:val="21"/>
          <w:szCs w:val="21"/>
        </w:rPr>
      </w:pPr>
      <w:r>
        <w:rPr>
          <w:rFonts w:hint="eastAsia" w:ascii="宋体" w:hAnsi="宋体" w:eastAsia="宋体" w:cs="宋体"/>
          <w:b/>
          <w:sz w:val="21"/>
          <w:szCs w:val="21"/>
        </w:rPr>
        <w:t>3.2 投标报价</w:t>
      </w:r>
      <w:bookmarkEnd w:id="81"/>
      <w:bookmarkEnd w:id="82"/>
      <w:bookmarkEnd w:id="83"/>
      <w:bookmarkEnd w:id="84"/>
      <w:bookmarkEnd w:id="85"/>
    </w:p>
    <w:p w14:paraId="6330D7A0">
      <w:pPr>
        <w:spacing w:line="360" w:lineRule="auto"/>
        <w:ind w:firstLine="420" w:firstLineChars="200"/>
        <w:rPr>
          <w:rFonts w:hint="eastAsia" w:ascii="宋体" w:hAnsi="宋体" w:eastAsia="宋体" w:cs="宋体"/>
          <w:sz w:val="21"/>
          <w:szCs w:val="21"/>
        </w:rPr>
      </w:pPr>
      <w:bookmarkStart w:id="86" w:name="_Toc292897324"/>
      <w:bookmarkStart w:id="87" w:name="_Toc152045549"/>
      <w:bookmarkStart w:id="88" w:name="_Toc179632567"/>
      <w:bookmarkStart w:id="89" w:name="_Toc152042325"/>
      <w:bookmarkStart w:id="90" w:name="_Toc144974517"/>
      <w:r>
        <w:rPr>
          <w:rFonts w:hint="eastAsia" w:ascii="宋体" w:hAnsi="宋体" w:eastAsia="宋体" w:cs="宋体"/>
          <w:sz w:val="21"/>
          <w:szCs w:val="21"/>
        </w:rPr>
        <w:t>3.2.1 投标人应按</w:t>
      </w:r>
      <w:r>
        <w:rPr>
          <w:rFonts w:hint="eastAsia" w:ascii="宋体" w:hAnsi="宋体" w:eastAsia="宋体" w:cs="宋体"/>
          <w:bCs/>
          <w:sz w:val="21"/>
          <w:szCs w:val="21"/>
        </w:rPr>
        <w:t>第五章</w:t>
      </w:r>
      <w:r>
        <w:rPr>
          <w:rFonts w:hint="eastAsia" w:ascii="宋体" w:hAnsi="宋体" w:eastAsia="宋体" w:cs="宋体"/>
          <w:sz w:val="21"/>
          <w:szCs w:val="21"/>
        </w:rPr>
        <w:t>“采购项目清单和技术要求”的要求填写相应表格。</w:t>
      </w:r>
    </w:p>
    <w:p w14:paraId="5FAD3F0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3.2.2 投标人在投标截止时间前修改投标函中的投标总报价，应同时修改</w:t>
      </w:r>
      <w:r>
        <w:rPr>
          <w:rFonts w:hint="eastAsia" w:ascii="宋体" w:hAnsi="宋体" w:eastAsia="宋体" w:cs="宋体"/>
          <w:bCs/>
          <w:sz w:val="21"/>
          <w:szCs w:val="21"/>
        </w:rPr>
        <w:t>第五章</w:t>
      </w:r>
      <w:r>
        <w:rPr>
          <w:rFonts w:hint="eastAsia" w:ascii="宋体" w:hAnsi="宋体" w:eastAsia="宋体" w:cs="宋体"/>
          <w:sz w:val="21"/>
          <w:szCs w:val="21"/>
        </w:rPr>
        <w:t>“采购项目清单和技术要求”中的相应报价。</w:t>
      </w:r>
    </w:p>
    <w:p w14:paraId="3DEB8D56">
      <w:pPr>
        <w:spacing w:line="360" w:lineRule="auto"/>
        <w:outlineLvl w:val="2"/>
        <w:rPr>
          <w:rFonts w:hint="eastAsia" w:ascii="宋体" w:hAnsi="宋体" w:eastAsia="宋体" w:cs="宋体"/>
          <w:b/>
          <w:sz w:val="21"/>
          <w:szCs w:val="21"/>
        </w:rPr>
      </w:pPr>
      <w:r>
        <w:rPr>
          <w:rFonts w:hint="eastAsia" w:ascii="宋体" w:hAnsi="宋体" w:eastAsia="宋体" w:cs="宋体"/>
          <w:b/>
          <w:sz w:val="21"/>
          <w:szCs w:val="21"/>
        </w:rPr>
        <w:t>3.3 投标有效期</w:t>
      </w:r>
      <w:bookmarkEnd w:id="86"/>
      <w:bookmarkEnd w:id="87"/>
      <w:bookmarkEnd w:id="88"/>
      <w:bookmarkEnd w:id="89"/>
      <w:bookmarkEnd w:id="90"/>
    </w:p>
    <w:p w14:paraId="36B122B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3.3.1在投标人须知前附表规定的投标有效期内，投标人不得要求撤销或修改其投标文件。</w:t>
      </w:r>
    </w:p>
    <w:p w14:paraId="417B991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3.3.2出现特殊情况需要延长投标有效期的，采购人在电子交易系统中通知所有投标人延长投标有效期。投标人同意延长的，应相应延长其投标保证金的有效期，但不得要求或被允许修改或撤销其投标文件；投标人拒绝延长的，其投标失效，但投标人有权收回其投标保证金。 </w:t>
      </w:r>
    </w:p>
    <w:p w14:paraId="581A40FA">
      <w:pPr>
        <w:spacing w:line="360" w:lineRule="auto"/>
        <w:outlineLvl w:val="2"/>
        <w:rPr>
          <w:rFonts w:hint="eastAsia" w:ascii="宋体" w:hAnsi="宋体" w:eastAsia="宋体" w:cs="宋体"/>
          <w:b/>
          <w:sz w:val="21"/>
          <w:szCs w:val="21"/>
        </w:rPr>
      </w:pPr>
      <w:bookmarkStart w:id="91" w:name="_Toc152045550"/>
      <w:bookmarkStart w:id="92" w:name="_Toc144974518"/>
      <w:bookmarkStart w:id="93" w:name="_Toc152042326"/>
      <w:bookmarkStart w:id="94" w:name="_Toc292897325"/>
      <w:bookmarkStart w:id="95" w:name="_Toc179632568"/>
      <w:r>
        <w:rPr>
          <w:rFonts w:hint="eastAsia" w:ascii="宋体" w:hAnsi="宋体" w:eastAsia="宋体" w:cs="宋体"/>
          <w:b/>
          <w:sz w:val="21"/>
          <w:szCs w:val="21"/>
        </w:rPr>
        <w:t>3.4 投标保证金</w:t>
      </w:r>
      <w:bookmarkEnd w:id="91"/>
      <w:bookmarkEnd w:id="92"/>
      <w:bookmarkEnd w:id="93"/>
      <w:bookmarkEnd w:id="94"/>
      <w:bookmarkEnd w:id="95"/>
    </w:p>
    <w:p w14:paraId="107BCB4B">
      <w:pPr>
        <w:spacing w:line="360" w:lineRule="auto"/>
        <w:ind w:firstLine="420" w:firstLineChars="200"/>
        <w:rPr>
          <w:rFonts w:hint="eastAsia" w:ascii="宋体" w:hAnsi="宋体" w:eastAsia="宋体" w:cs="宋体"/>
          <w:sz w:val="21"/>
          <w:szCs w:val="21"/>
        </w:rPr>
      </w:pPr>
      <w:bookmarkStart w:id="96" w:name="_Toc179632571"/>
      <w:bookmarkStart w:id="97" w:name="_Toc292897327"/>
      <w:bookmarkStart w:id="98" w:name="_Toc152042329"/>
      <w:bookmarkStart w:id="99" w:name="_Toc144974521"/>
      <w:bookmarkStart w:id="100" w:name="_Toc152045553"/>
      <w:r>
        <w:rPr>
          <w:rFonts w:hint="eastAsia" w:ascii="宋体" w:hAnsi="宋体" w:eastAsia="宋体" w:cs="宋体"/>
          <w:sz w:val="21"/>
          <w:szCs w:val="21"/>
        </w:rPr>
        <w:t>不提交</w:t>
      </w:r>
    </w:p>
    <w:p w14:paraId="15D76920">
      <w:pPr>
        <w:spacing w:line="360" w:lineRule="auto"/>
        <w:outlineLvl w:val="2"/>
        <w:rPr>
          <w:rFonts w:hint="eastAsia" w:ascii="宋体" w:hAnsi="宋体" w:eastAsia="宋体" w:cs="宋体"/>
          <w:b/>
          <w:sz w:val="21"/>
          <w:szCs w:val="21"/>
        </w:rPr>
      </w:pPr>
      <w:r>
        <w:rPr>
          <w:rFonts w:hint="eastAsia" w:ascii="宋体" w:hAnsi="宋体" w:eastAsia="宋体" w:cs="宋体"/>
          <w:b/>
          <w:sz w:val="21"/>
          <w:szCs w:val="21"/>
        </w:rPr>
        <w:t>3.5 资格审查资料</w:t>
      </w:r>
    </w:p>
    <w:p w14:paraId="49312EC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详见招标公告</w:t>
      </w:r>
    </w:p>
    <w:p w14:paraId="17EB4732">
      <w:pPr>
        <w:spacing w:line="360" w:lineRule="auto"/>
        <w:outlineLvl w:val="2"/>
        <w:rPr>
          <w:rFonts w:hint="eastAsia" w:ascii="宋体" w:hAnsi="宋体" w:eastAsia="宋体" w:cs="宋体"/>
          <w:b/>
          <w:sz w:val="21"/>
          <w:szCs w:val="21"/>
        </w:rPr>
      </w:pPr>
      <w:r>
        <w:rPr>
          <w:rFonts w:hint="eastAsia" w:ascii="宋体" w:hAnsi="宋体" w:eastAsia="宋体" w:cs="宋体"/>
          <w:b/>
          <w:sz w:val="21"/>
          <w:szCs w:val="21"/>
        </w:rPr>
        <w:t>3.6 备选投标方案</w:t>
      </w:r>
      <w:bookmarkEnd w:id="96"/>
      <w:bookmarkEnd w:id="97"/>
      <w:bookmarkEnd w:id="98"/>
      <w:bookmarkEnd w:id="99"/>
      <w:bookmarkEnd w:id="100"/>
      <w:r>
        <w:rPr>
          <w:rFonts w:hint="eastAsia" w:ascii="宋体" w:hAnsi="宋体" w:eastAsia="宋体" w:cs="宋体"/>
          <w:b/>
          <w:sz w:val="21"/>
          <w:szCs w:val="21"/>
        </w:rPr>
        <w:t xml:space="preserve">  </w:t>
      </w:r>
    </w:p>
    <w:p w14:paraId="042FCDB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采购人可以接受该备选投标方案。</w:t>
      </w:r>
    </w:p>
    <w:p w14:paraId="449A9275">
      <w:pPr>
        <w:spacing w:line="360" w:lineRule="auto"/>
        <w:outlineLvl w:val="2"/>
        <w:rPr>
          <w:rFonts w:hint="eastAsia" w:ascii="宋体" w:hAnsi="宋体" w:eastAsia="宋体" w:cs="宋体"/>
          <w:b/>
          <w:sz w:val="21"/>
          <w:szCs w:val="21"/>
        </w:rPr>
      </w:pPr>
      <w:bookmarkStart w:id="101" w:name="_Toc144974522"/>
      <w:bookmarkStart w:id="102" w:name="_Toc152042330"/>
      <w:bookmarkStart w:id="103" w:name="_Toc179632572"/>
      <w:bookmarkStart w:id="104" w:name="_Toc152045554"/>
      <w:bookmarkStart w:id="105" w:name="_Toc292897328"/>
      <w:r>
        <w:rPr>
          <w:rFonts w:hint="eastAsia" w:ascii="宋体" w:hAnsi="宋体" w:eastAsia="宋体" w:cs="宋体"/>
          <w:b/>
          <w:sz w:val="21"/>
          <w:szCs w:val="21"/>
        </w:rPr>
        <w:t>3.7 投标文件的编制</w:t>
      </w:r>
      <w:bookmarkEnd w:id="101"/>
      <w:bookmarkEnd w:id="102"/>
      <w:bookmarkEnd w:id="103"/>
      <w:bookmarkEnd w:id="104"/>
      <w:bookmarkEnd w:id="105"/>
    </w:p>
    <w:p w14:paraId="7F04AF9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3.7.1投标文件应按 “投标文件格式”进行编写，如有必要，可以增加附页，作为投标文件的组成部分。其中，投标函附录在满足招标文件实质性要求的基础上，可以提出比招标文件要求更有利于采购人的承诺。</w:t>
      </w:r>
    </w:p>
    <w:p w14:paraId="19EB0A7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3.7.2投标文件应当对招标文件有关供货及安装期限、投标有效期、质量要求、投标范围等实质性内容作出响应。</w:t>
      </w:r>
    </w:p>
    <w:p w14:paraId="448204C9">
      <w:pPr>
        <w:spacing w:line="360" w:lineRule="auto"/>
        <w:outlineLvl w:val="1"/>
        <w:rPr>
          <w:rFonts w:hint="eastAsia" w:ascii="宋体" w:hAnsi="宋体" w:eastAsia="宋体" w:cs="宋体"/>
          <w:b/>
          <w:sz w:val="21"/>
          <w:szCs w:val="21"/>
        </w:rPr>
      </w:pPr>
      <w:bookmarkStart w:id="106" w:name="_Toc152045555"/>
      <w:bookmarkStart w:id="107" w:name="_Toc292897329"/>
      <w:bookmarkStart w:id="108" w:name="_Toc152042331"/>
      <w:bookmarkStart w:id="109" w:name="_Toc179632573"/>
      <w:bookmarkStart w:id="110" w:name="_Toc144974523"/>
      <w:r>
        <w:rPr>
          <w:rFonts w:hint="eastAsia" w:ascii="宋体" w:hAnsi="宋体" w:eastAsia="宋体" w:cs="宋体"/>
          <w:b/>
          <w:sz w:val="21"/>
          <w:szCs w:val="21"/>
        </w:rPr>
        <w:t>4．投标</w:t>
      </w:r>
      <w:bookmarkEnd w:id="106"/>
      <w:bookmarkEnd w:id="107"/>
      <w:bookmarkEnd w:id="108"/>
      <w:bookmarkEnd w:id="109"/>
      <w:bookmarkEnd w:id="110"/>
    </w:p>
    <w:p w14:paraId="3AB46904">
      <w:pPr>
        <w:spacing w:line="360" w:lineRule="auto"/>
        <w:ind w:firstLine="420" w:firstLineChars="200"/>
        <w:rPr>
          <w:rFonts w:hint="eastAsia" w:ascii="宋体" w:hAnsi="宋体" w:eastAsia="宋体" w:cs="宋体"/>
          <w:sz w:val="21"/>
          <w:szCs w:val="21"/>
        </w:rPr>
      </w:pPr>
      <w:bookmarkStart w:id="111" w:name="_Toc152045557"/>
      <w:bookmarkStart w:id="112" w:name="_Toc25863"/>
      <w:bookmarkStart w:id="113" w:name="_Toc152042333"/>
      <w:bookmarkStart w:id="114" w:name="_Toc144974525"/>
      <w:bookmarkStart w:id="115" w:name="_Toc292897331"/>
      <w:bookmarkStart w:id="116" w:name="_Toc179632575"/>
      <w:r>
        <w:rPr>
          <w:rFonts w:hint="eastAsia" w:ascii="宋体" w:hAnsi="宋体" w:eastAsia="宋体" w:cs="宋体"/>
          <w:sz w:val="21"/>
          <w:szCs w:val="21"/>
        </w:rPr>
        <w:t xml:space="preserve">4.1 </w:t>
      </w:r>
      <w:bookmarkEnd w:id="111"/>
      <w:bookmarkEnd w:id="112"/>
      <w:bookmarkEnd w:id="113"/>
      <w:bookmarkEnd w:id="114"/>
      <w:bookmarkEnd w:id="115"/>
      <w:bookmarkEnd w:id="116"/>
      <w:bookmarkStart w:id="117" w:name="_Toc292897332"/>
      <w:bookmarkStart w:id="118" w:name="_Toc144974527"/>
      <w:bookmarkStart w:id="119" w:name="_Toc152045559"/>
      <w:bookmarkStart w:id="120" w:name="_Toc152042335"/>
      <w:bookmarkStart w:id="121" w:name="_Toc179632577"/>
      <w:r>
        <w:rPr>
          <w:rFonts w:hint="eastAsia" w:ascii="宋体" w:hAnsi="宋体" w:eastAsia="宋体" w:cs="宋体"/>
          <w:sz w:val="21"/>
          <w:szCs w:val="21"/>
        </w:rPr>
        <w:t>本项目采用网上远程异地开标解密，详细要求及注意事项请各投标人详细阅读平顶山公共资源交易中心网站“平顶山市公共资源交易中心关于恢复重大紧急项目交易服务的公告”，因各投标人未仔细阅读造成的损失，各投标人自行承担。</w:t>
      </w:r>
    </w:p>
    <w:p w14:paraId="545BC0F9">
      <w:pPr>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t>5．开标</w:t>
      </w:r>
      <w:bookmarkEnd w:id="117"/>
      <w:bookmarkEnd w:id="118"/>
      <w:bookmarkEnd w:id="119"/>
      <w:bookmarkEnd w:id="120"/>
      <w:bookmarkEnd w:id="121"/>
    </w:p>
    <w:p w14:paraId="21304C3D">
      <w:pPr>
        <w:spacing w:line="360" w:lineRule="auto"/>
        <w:ind w:firstLine="422" w:firstLineChars="200"/>
        <w:rPr>
          <w:rFonts w:hint="eastAsia" w:ascii="宋体" w:hAnsi="宋体" w:eastAsia="宋体" w:cs="宋体"/>
          <w:b/>
          <w:sz w:val="21"/>
          <w:szCs w:val="21"/>
        </w:rPr>
      </w:pPr>
      <w:bookmarkStart w:id="122" w:name="_Toc144974528"/>
      <w:bookmarkStart w:id="123" w:name="_Toc179632578"/>
      <w:bookmarkStart w:id="124" w:name="_Toc292897333"/>
      <w:bookmarkStart w:id="125" w:name="_Toc152042336"/>
      <w:bookmarkStart w:id="126" w:name="_Toc152045560"/>
      <w:r>
        <w:rPr>
          <w:rFonts w:hint="eastAsia" w:ascii="宋体" w:hAnsi="宋体" w:eastAsia="宋体" w:cs="宋体"/>
          <w:b/>
          <w:sz w:val="21"/>
          <w:szCs w:val="21"/>
        </w:rPr>
        <w:t>5.1 开标时间和地点</w:t>
      </w:r>
      <w:bookmarkEnd w:id="122"/>
      <w:bookmarkEnd w:id="123"/>
      <w:bookmarkEnd w:id="124"/>
      <w:bookmarkEnd w:id="125"/>
      <w:bookmarkEnd w:id="126"/>
    </w:p>
    <w:p w14:paraId="139B1A4D">
      <w:pPr>
        <w:spacing w:line="360" w:lineRule="auto"/>
        <w:ind w:firstLine="420" w:firstLineChars="200"/>
        <w:rPr>
          <w:rFonts w:hint="eastAsia" w:ascii="宋体" w:hAnsi="宋体" w:eastAsia="宋体" w:cs="宋体"/>
          <w:b/>
          <w:bCs/>
          <w:sz w:val="21"/>
          <w:szCs w:val="21"/>
        </w:rPr>
      </w:pPr>
      <w:bookmarkStart w:id="127" w:name="_Toc179632579"/>
      <w:bookmarkStart w:id="128" w:name="_Toc144974529"/>
      <w:bookmarkStart w:id="129" w:name="_Toc152045561"/>
      <w:bookmarkStart w:id="130" w:name="_Toc292897334"/>
      <w:bookmarkStart w:id="131" w:name="_Toc152042337"/>
      <w:r>
        <w:rPr>
          <w:rFonts w:hint="eastAsia" w:ascii="宋体" w:hAnsi="宋体" w:eastAsia="宋体" w:cs="宋体"/>
          <w:sz w:val="21"/>
          <w:szCs w:val="21"/>
        </w:rPr>
        <w:t>采购人在投标人须知前附表第17项规定的投标截止时间（开标时间）和投标人须知前附表规定的地点进行不见面开标。</w:t>
      </w:r>
    </w:p>
    <w:bookmarkEnd w:id="127"/>
    <w:bookmarkEnd w:id="128"/>
    <w:bookmarkEnd w:id="129"/>
    <w:bookmarkEnd w:id="130"/>
    <w:bookmarkEnd w:id="131"/>
    <w:p w14:paraId="4DDEF9E3">
      <w:pPr>
        <w:spacing w:line="360" w:lineRule="auto"/>
        <w:outlineLvl w:val="1"/>
        <w:rPr>
          <w:rFonts w:hint="eastAsia" w:ascii="宋体" w:hAnsi="宋体" w:eastAsia="宋体" w:cs="宋体"/>
          <w:b/>
          <w:sz w:val="21"/>
          <w:szCs w:val="21"/>
        </w:rPr>
      </w:pPr>
      <w:bookmarkStart w:id="132" w:name="_Toc152042338"/>
      <w:bookmarkStart w:id="133" w:name="_Toc144974530"/>
      <w:bookmarkStart w:id="134" w:name="_Toc292897335"/>
      <w:bookmarkStart w:id="135" w:name="_Toc152045562"/>
      <w:bookmarkStart w:id="136" w:name="_Toc179632580"/>
      <w:r>
        <w:rPr>
          <w:rFonts w:hint="eastAsia" w:ascii="宋体" w:hAnsi="宋体" w:eastAsia="宋体" w:cs="宋体"/>
          <w:b/>
          <w:sz w:val="21"/>
          <w:szCs w:val="21"/>
        </w:rPr>
        <w:t>6．评标</w:t>
      </w:r>
      <w:bookmarkEnd w:id="132"/>
      <w:bookmarkEnd w:id="133"/>
      <w:bookmarkEnd w:id="134"/>
      <w:bookmarkEnd w:id="135"/>
      <w:bookmarkEnd w:id="136"/>
    </w:p>
    <w:p w14:paraId="73C7E678">
      <w:pPr>
        <w:spacing w:line="360" w:lineRule="auto"/>
        <w:ind w:firstLine="422" w:firstLineChars="200"/>
        <w:outlineLvl w:val="2"/>
        <w:rPr>
          <w:rFonts w:hint="eastAsia" w:ascii="宋体" w:hAnsi="宋体" w:eastAsia="宋体" w:cs="宋体"/>
          <w:b/>
          <w:sz w:val="21"/>
          <w:szCs w:val="21"/>
        </w:rPr>
      </w:pPr>
      <w:bookmarkStart w:id="137" w:name="_Toc152042339"/>
      <w:bookmarkStart w:id="138" w:name="_Toc144974531"/>
      <w:bookmarkStart w:id="139" w:name="_Toc152045563"/>
      <w:bookmarkStart w:id="140" w:name="_Toc179632581"/>
      <w:bookmarkStart w:id="141" w:name="_Toc292897336"/>
      <w:r>
        <w:rPr>
          <w:rFonts w:hint="eastAsia" w:ascii="宋体" w:hAnsi="宋体" w:eastAsia="宋体" w:cs="宋体"/>
          <w:b/>
          <w:sz w:val="21"/>
          <w:szCs w:val="21"/>
        </w:rPr>
        <w:t>6.1 评标委员会</w:t>
      </w:r>
      <w:bookmarkEnd w:id="137"/>
      <w:bookmarkEnd w:id="138"/>
      <w:bookmarkEnd w:id="139"/>
      <w:bookmarkEnd w:id="140"/>
      <w:bookmarkEnd w:id="141"/>
    </w:p>
    <w:p w14:paraId="7131A50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6.1.1评标由采购人依法组建的评标委员会负责。评标委员会构成：评标委员会由采购人代表和评审专家共5人以上单数组成，其中评审专家人数不得少于评标委员会成员总数的2/3。</w:t>
      </w:r>
    </w:p>
    <w:p w14:paraId="4DECA12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上述规定为一组评标专家组成方式，根据项目标段数量和评标工作量，可由多组专家完成评审，但一个标段只能由一组专家评审。</w:t>
      </w:r>
    </w:p>
    <w:p w14:paraId="294D9BD1">
      <w:pPr>
        <w:spacing w:line="360" w:lineRule="auto"/>
        <w:ind w:firstLine="420" w:firstLineChars="200"/>
        <w:rPr>
          <w:rFonts w:hint="eastAsia" w:ascii="宋体" w:hAnsi="宋体" w:eastAsia="宋体" w:cs="宋体"/>
          <w:sz w:val="21"/>
          <w:szCs w:val="21"/>
        </w:rPr>
      </w:pPr>
      <w:bookmarkStart w:id="142" w:name="_Toc152045564"/>
      <w:bookmarkStart w:id="143" w:name="_Toc144974532"/>
      <w:bookmarkStart w:id="144" w:name="_Toc292897337"/>
      <w:bookmarkStart w:id="145" w:name="_Toc152042340"/>
      <w:bookmarkStart w:id="146" w:name="_Toc179632582"/>
      <w:r>
        <w:rPr>
          <w:rFonts w:hint="eastAsia" w:ascii="宋体" w:hAnsi="宋体" w:eastAsia="宋体" w:cs="宋体"/>
          <w:sz w:val="21"/>
          <w:szCs w:val="21"/>
        </w:rPr>
        <w:t>6.1.2 评标委员会成员有下列情形之一的，应当回避：</w:t>
      </w:r>
    </w:p>
    <w:p w14:paraId="4A0BF7B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（1）采购人或投标人的主要负责人的近亲属；</w:t>
      </w:r>
    </w:p>
    <w:p w14:paraId="79E9B80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（2）项目主管部门或者行政监督部门的人员；</w:t>
      </w:r>
    </w:p>
    <w:p w14:paraId="0A3A614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（3）与投标人有经济利益关系，可能影响对投标公正评审的；</w:t>
      </w:r>
    </w:p>
    <w:p w14:paraId="44CA772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（4）曾因在招标、评标以及其他与招标投标有关活动中从事违法行为而受过行政处罚或刑事处罚的。</w:t>
      </w:r>
    </w:p>
    <w:p w14:paraId="2829FF5C">
      <w:pPr>
        <w:spacing w:line="360" w:lineRule="auto"/>
        <w:ind w:firstLine="422" w:firstLineChars="200"/>
        <w:outlineLvl w:val="2"/>
        <w:rPr>
          <w:rFonts w:hint="eastAsia" w:ascii="宋体" w:hAnsi="宋体" w:eastAsia="宋体" w:cs="宋体"/>
          <w:b/>
          <w:sz w:val="21"/>
          <w:szCs w:val="21"/>
        </w:rPr>
      </w:pPr>
      <w:r>
        <w:rPr>
          <w:rFonts w:hint="eastAsia" w:ascii="宋体" w:hAnsi="宋体" w:eastAsia="宋体" w:cs="宋体"/>
          <w:b/>
          <w:sz w:val="21"/>
          <w:szCs w:val="21"/>
        </w:rPr>
        <w:t>6.2 评标原则</w:t>
      </w:r>
      <w:bookmarkEnd w:id="142"/>
      <w:bookmarkEnd w:id="143"/>
      <w:bookmarkEnd w:id="144"/>
      <w:bookmarkEnd w:id="145"/>
      <w:bookmarkEnd w:id="146"/>
      <w:r>
        <w:rPr>
          <w:rFonts w:hint="eastAsia" w:ascii="宋体" w:hAnsi="宋体" w:eastAsia="宋体" w:cs="宋体"/>
          <w:b/>
          <w:sz w:val="21"/>
          <w:szCs w:val="21"/>
        </w:rPr>
        <w:tab/>
      </w:r>
    </w:p>
    <w:p w14:paraId="6D460E6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评标活动遵循公平、公正、科学和择优的原则。</w:t>
      </w:r>
    </w:p>
    <w:p w14:paraId="69FDE8A5">
      <w:pPr>
        <w:spacing w:line="360" w:lineRule="auto"/>
        <w:ind w:firstLine="422" w:firstLineChars="200"/>
        <w:outlineLvl w:val="2"/>
        <w:rPr>
          <w:rFonts w:hint="eastAsia" w:ascii="宋体" w:hAnsi="宋体" w:eastAsia="宋体" w:cs="宋体"/>
          <w:b/>
          <w:sz w:val="21"/>
          <w:szCs w:val="21"/>
        </w:rPr>
      </w:pPr>
      <w:bookmarkStart w:id="147" w:name="_Toc179632583"/>
      <w:bookmarkStart w:id="148" w:name="_Toc144974533"/>
      <w:bookmarkStart w:id="149" w:name="_Toc152045565"/>
      <w:bookmarkStart w:id="150" w:name="_Toc152042341"/>
      <w:bookmarkStart w:id="151" w:name="_Toc292897338"/>
      <w:r>
        <w:rPr>
          <w:rFonts w:hint="eastAsia" w:ascii="宋体" w:hAnsi="宋体" w:eastAsia="宋体" w:cs="宋体"/>
          <w:b/>
          <w:sz w:val="21"/>
          <w:szCs w:val="21"/>
        </w:rPr>
        <w:t>6.3 评标</w:t>
      </w:r>
      <w:bookmarkEnd w:id="147"/>
      <w:bookmarkEnd w:id="148"/>
      <w:bookmarkEnd w:id="149"/>
      <w:bookmarkEnd w:id="150"/>
      <w:bookmarkEnd w:id="151"/>
    </w:p>
    <w:p w14:paraId="178D983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评标委员会按照第三章“评标办法”规定的方法、评审因素、标准和程序对投标文件进行评审。第三章“评标办法”没有规定的方法、评审因素和标准，不作为评标依据。</w:t>
      </w:r>
    </w:p>
    <w:p w14:paraId="460F0243">
      <w:pPr>
        <w:spacing w:line="360" w:lineRule="auto"/>
        <w:outlineLvl w:val="1"/>
        <w:rPr>
          <w:rFonts w:hint="eastAsia" w:ascii="宋体" w:hAnsi="宋体" w:eastAsia="宋体" w:cs="宋体"/>
          <w:b/>
          <w:sz w:val="21"/>
          <w:szCs w:val="21"/>
        </w:rPr>
      </w:pPr>
      <w:bookmarkStart w:id="152" w:name="_Toc144974534"/>
      <w:bookmarkStart w:id="153" w:name="_Toc292897339"/>
      <w:bookmarkStart w:id="154" w:name="_Toc152045566"/>
      <w:bookmarkStart w:id="155" w:name="_Toc179632584"/>
      <w:bookmarkStart w:id="156" w:name="_Toc152042342"/>
      <w:r>
        <w:rPr>
          <w:rFonts w:hint="eastAsia" w:ascii="宋体" w:hAnsi="宋体" w:eastAsia="宋体" w:cs="宋体"/>
          <w:b/>
          <w:sz w:val="21"/>
          <w:szCs w:val="21"/>
        </w:rPr>
        <w:t>7．合同授予</w:t>
      </w:r>
      <w:bookmarkEnd w:id="152"/>
      <w:bookmarkEnd w:id="153"/>
      <w:bookmarkEnd w:id="154"/>
      <w:bookmarkEnd w:id="155"/>
      <w:bookmarkEnd w:id="156"/>
    </w:p>
    <w:p w14:paraId="71DE4D56">
      <w:pPr>
        <w:spacing w:line="360" w:lineRule="auto"/>
        <w:ind w:firstLine="422" w:firstLineChars="200"/>
        <w:outlineLvl w:val="2"/>
        <w:rPr>
          <w:rFonts w:hint="eastAsia" w:ascii="宋体" w:hAnsi="宋体" w:eastAsia="宋体" w:cs="宋体"/>
          <w:b/>
          <w:sz w:val="21"/>
          <w:szCs w:val="21"/>
        </w:rPr>
      </w:pPr>
      <w:bookmarkStart w:id="157" w:name="_Toc179632585"/>
      <w:bookmarkStart w:id="158" w:name="_Toc292897340"/>
      <w:bookmarkStart w:id="159" w:name="_Toc152042343"/>
      <w:bookmarkStart w:id="160" w:name="_Toc144974535"/>
      <w:bookmarkStart w:id="161" w:name="_Toc152045567"/>
      <w:r>
        <w:rPr>
          <w:rFonts w:hint="eastAsia" w:ascii="宋体" w:hAnsi="宋体" w:eastAsia="宋体" w:cs="宋体"/>
          <w:b/>
          <w:sz w:val="21"/>
          <w:szCs w:val="21"/>
        </w:rPr>
        <w:t>7.1 定标方式</w:t>
      </w:r>
      <w:bookmarkEnd w:id="157"/>
      <w:bookmarkEnd w:id="158"/>
      <w:bookmarkEnd w:id="159"/>
      <w:bookmarkEnd w:id="160"/>
      <w:bookmarkEnd w:id="161"/>
    </w:p>
    <w:p w14:paraId="0AC2A264">
      <w:pPr>
        <w:spacing w:line="360" w:lineRule="auto"/>
        <w:ind w:firstLine="420" w:firstLineChars="200"/>
        <w:rPr>
          <w:rFonts w:hint="eastAsia" w:ascii="宋体" w:hAnsi="宋体" w:eastAsia="宋体" w:cs="宋体"/>
          <w:sz w:val="21"/>
          <w:szCs w:val="21"/>
        </w:rPr>
      </w:pPr>
      <w:bookmarkStart w:id="162" w:name="_Toc144974536"/>
      <w:bookmarkStart w:id="163" w:name="_Toc292897341"/>
      <w:bookmarkStart w:id="164" w:name="_Toc152042344"/>
      <w:bookmarkStart w:id="165" w:name="_Toc179632586"/>
      <w:bookmarkStart w:id="166" w:name="_Toc152045568"/>
      <w:r>
        <w:rPr>
          <w:rFonts w:hint="eastAsia" w:ascii="宋体" w:hAnsi="宋体" w:eastAsia="宋体" w:cs="宋体"/>
          <w:sz w:val="21"/>
          <w:szCs w:val="21"/>
        </w:rPr>
        <w:t>除投标人须知前附表规定评标委员会直接确定中标人外，采购人依据评标委员会推荐的中标候选人确定中标人，评标委员会推荐中标候选人的人数见投标人须知前附表。</w:t>
      </w:r>
    </w:p>
    <w:p w14:paraId="60D01E52">
      <w:pPr>
        <w:spacing w:line="360" w:lineRule="auto"/>
        <w:ind w:firstLine="422" w:firstLineChars="200"/>
        <w:outlineLvl w:val="2"/>
        <w:rPr>
          <w:rFonts w:hint="eastAsia" w:ascii="宋体" w:hAnsi="宋体" w:eastAsia="宋体" w:cs="宋体"/>
          <w:b/>
          <w:sz w:val="21"/>
          <w:szCs w:val="21"/>
        </w:rPr>
      </w:pPr>
      <w:r>
        <w:rPr>
          <w:rFonts w:hint="eastAsia" w:ascii="宋体" w:hAnsi="宋体" w:eastAsia="宋体" w:cs="宋体"/>
          <w:b/>
          <w:sz w:val="21"/>
          <w:szCs w:val="21"/>
        </w:rPr>
        <w:t>7.2 中标通知</w:t>
      </w:r>
      <w:bookmarkEnd w:id="162"/>
      <w:bookmarkEnd w:id="163"/>
      <w:bookmarkEnd w:id="164"/>
      <w:bookmarkEnd w:id="165"/>
      <w:bookmarkEnd w:id="166"/>
    </w:p>
    <w:p w14:paraId="7C26F11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在本章第3.3款规定的投标有效期内，采购人以书面形式向中标人发出中标通知书，同时将中标结果通知未中标的投标人。</w:t>
      </w:r>
    </w:p>
    <w:p w14:paraId="075D84E1">
      <w:pPr>
        <w:spacing w:line="360" w:lineRule="auto"/>
        <w:ind w:firstLine="422" w:firstLineChars="200"/>
        <w:outlineLvl w:val="2"/>
        <w:rPr>
          <w:rFonts w:hint="eastAsia" w:ascii="宋体" w:hAnsi="宋体" w:eastAsia="宋体" w:cs="宋体"/>
          <w:b/>
          <w:sz w:val="21"/>
          <w:szCs w:val="21"/>
        </w:rPr>
      </w:pPr>
      <w:r>
        <w:rPr>
          <w:rFonts w:hint="eastAsia" w:ascii="宋体" w:hAnsi="宋体" w:eastAsia="宋体" w:cs="宋体"/>
          <w:b/>
          <w:sz w:val="21"/>
          <w:szCs w:val="21"/>
        </w:rPr>
        <w:t>7.3 履约担保</w:t>
      </w:r>
    </w:p>
    <w:p w14:paraId="5FACCA09">
      <w:pPr>
        <w:spacing w:line="360" w:lineRule="auto"/>
        <w:ind w:firstLine="420" w:firstLineChars="200"/>
        <w:rPr>
          <w:rFonts w:hint="eastAsia" w:ascii="宋体" w:hAnsi="宋体" w:eastAsia="宋体" w:cs="宋体"/>
          <w:sz w:val="21"/>
          <w:szCs w:val="21"/>
        </w:rPr>
      </w:pPr>
      <w:bookmarkStart w:id="167" w:name="_Toc292897342"/>
      <w:bookmarkStart w:id="168" w:name="_Toc152045570"/>
      <w:bookmarkStart w:id="169" w:name="_Toc144974538"/>
      <w:bookmarkStart w:id="170" w:name="_Toc152042346"/>
      <w:bookmarkStart w:id="171" w:name="_Toc179632588"/>
      <w:r>
        <w:rPr>
          <w:rFonts w:hint="eastAsia" w:ascii="宋体" w:hAnsi="宋体" w:eastAsia="宋体" w:cs="宋体"/>
          <w:sz w:val="21"/>
          <w:szCs w:val="21"/>
        </w:rPr>
        <w:t>7.3.1在签订合同前，中标人应按投标人须知前附表规定的金额、担保形式和招标文件第四章“合同条款及格式”规定的履约担保格式向采购人提交履约担保。联合体中标的，其履约担保由牵头人递交，并应符合投标人须知前附表规定的金额、担保形式和招标文件第四章“合同条款及格式”规定的履约担保格式要求。</w:t>
      </w:r>
    </w:p>
    <w:p w14:paraId="418F0ADB">
      <w:pPr>
        <w:spacing w:line="4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7.3.2 中标人不能按本章第7.3.1项要求提交履约担保的，视为放弃中标，其投标保证金不予退还，给采购人造成的损失超过投标保证金数额的，中标人还应当对超过部分予以赔偿。</w:t>
      </w:r>
    </w:p>
    <w:p w14:paraId="5736A5F6">
      <w:pPr>
        <w:spacing w:line="360" w:lineRule="auto"/>
        <w:ind w:firstLine="422" w:firstLineChars="200"/>
        <w:outlineLvl w:val="2"/>
        <w:rPr>
          <w:rFonts w:hint="eastAsia" w:ascii="宋体" w:hAnsi="宋体" w:eastAsia="宋体" w:cs="宋体"/>
          <w:b/>
          <w:sz w:val="21"/>
          <w:szCs w:val="21"/>
        </w:rPr>
      </w:pPr>
      <w:r>
        <w:rPr>
          <w:rFonts w:hint="eastAsia" w:ascii="宋体" w:hAnsi="宋体" w:eastAsia="宋体" w:cs="宋体"/>
          <w:b/>
          <w:sz w:val="21"/>
          <w:szCs w:val="21"/>
        </w:rPr>
        <w:t>7.4 签订合同</w:t>
      </w:r>
      <w:bookmarkEnd w:id="167"/>
      <w:bookmarkEnd w:id="168"/>
      <w:bookmarkEnd w:id="169"/>
      <w:bookmarkEnd w:id="170"/>
      <w:bookmarkEnd w:id="171"/>
    </w:p>
    <w:p w14:paraId="4D8415E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7.4.1采购人和中标人应当自中标通知书发出之日起15天内，根据招标文件和中标人的投标文件订立书面合同。中标人无正当理由拒签合同的，采购人取消其中标资格，其投标保证金不予退还；给采购人造成的损失超过投标保证金数额的，中标人还应当对超过部分予以赔偿。</w:t>
      </w:r>
    </w:p>
    <w:p w14:paraId="523D5725">
      <w:pPr>
        <w:spacing w:line="360" w:lineRule="auto"/>
        <w:ind w:firstLine="420" w:firstLineChars="200"/>
        <w:rPr>
          <w:rFonts w:hint="eastAsia" w:ascii="宋体" w:hAnsi="宋体" w:eastAsia="宋体" w:cs="宋体"/>
          <w:b/>
          <w:sz w:val="21"/>
          <w:szCs w:val="21"/>
        </w:rPr>
      </w:pPr>
      <w:r>
        <w:rPr>
          <w:rFonts w:hint="eastAsia" w:ascii="宋体" w:hAnsi="宋体" w:eastAsia="宋体" w:cs="宋体"/>
          <w:color w:val="000000"/>
          <w:sz w:val="21"/>
          <w:szCs w:val="21"/>
        </w:rPr>
        <w:t>7.4.2 发出中标通知书后，采购人无正当理由拒签合同的，采购人向中标人退还投标保证金；给中标人造成损失的，还应当赔偿损失。</w:t>
      </w:r>
    </w:p>
    <w:p w14:paraId="29D2DEF4">
      <w:pPr>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t>8．重新招标和不再招标</w:t>
      </w:r>
    </w:p>
    <w:p w14:paraId="045CE07C">
      <w:pPr>
        <w:spacing w:line="360" w:lineRule="auto"/>
        <w:ind w:firstLine="422" w:firstLineChars="200"/>
        <w:outlineLvl w:val="2"/>
        <w:rPr>
          <w:rFonts w:hint="eastAsia" w:ascii="宋体" w:hAnsi="宋体" w:eastAsia="宋体" w:cs="宋体"/>
          <w:b/>
          <w:sz w:val="21"/>
          <w:szCs w:val="21"/>
        </w:rPr>
      </w:pPr>
      <w:r>
        <w:rPr>
          <w:rFonts w:hint="eastAsia" w:ascii="宋体" w:hAnsi="宋体" w:eastAsia="宋体" w:cs="宋体"/>
          <w:b/>
          <w:sz w:val="21"/>
          <w:szCs w:val="21"/>
        </w:rPr>
        <w:t>8.1重新招标：</w:t>
      </w:r>
    </w:p>
    <w:p w14:paraId="515054E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有下列情形之一的，采购人将重新招标：</w:t>
      </w:r>
    </w:p>
    <w:p w14:paraId="1F450272">
      <w:pPr>
        <w:numPr>
          <w:ilvl w:val="0"/>
          <w:numId w:val="1"/>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投标截止时间止，投标人少于3个的；</w:t>
      </w:r>
    </w:p>
    <w:p w14:paraId="450042AB">
      <w:pPr>
        <w:numPr>
          <w:ilvl w:val="0"/>
          <w:numId w:val="1"/>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经评标委员会评审后否决所有投标的。</w:t>
      </w:r>
    </w:p>
    <w:p w14:paraId="2366A3B8">
      <w:pPr>
        <w:spacing w:line="360" w:lineRule="auto"/>
        <w:ind w:firstLine="422" w:firstLineChars="200"/>
        <w:outlineLvl w:val="2"/>
        <w:rPr>
          <w:rFonts w:hint="eastAsia" w:ascii="宋体" w:hAnsi="宋体" w:eastAsia="宋体" w:cs="宋体"/>
          <w:b/>
          <w:sz w:val="21"/>
          <w:szCs w:val="21"/>
        </w:rPr>
      </w:pPr>
      <w:r>
        <w:rPr>
          <w:rFonts w:hint="eastAsia" w:ascii="宋体" w:hAnsi="宋体" w:eastAsia="宋体" w:cs="宋体"/>
          <w:b/>
          <w:sz w:val="21"/>
          <w:szCs w:val="21"/>
        </w:rPr>
        <w:t>8.2不再招标：</w:t>
      </w:r>
    </w:p>
    <w:p w14:paraId="23D164ED">
      <w:pPr>
        <w:spacing w:line="360" w:lineRule="auto"/>
        <w:ind w:firstLine="420" w:firstLineChars="200"/>
        <w:rPr>
          <w:rFonts w:hint="eastAsia" w:ascii="宋体" w:hAnsi="宋体" w:eastAsia="宋体" w:cs="宋体"/>
          <w:sz w:val="21"/>
          <w:szCs w:val="21"/>
        </w:rPr>
      </w:pPr>
      <w:bookmarkStart w:id="172" w:name="_Toc144974542"/>
      <w:bookmarkStart w:id="173" w:name="_Toc152045574"/>
      <w:bookmarkStart w:id="174" w:name="_Toc292897344"/>
      <w:bookmarkStart w:id="175" w:name="_Toc179632592"/>
      <w:bookmarkStart w:id="176" w:name="_Toc152042350"/>
      <w:r>
        <w:rPr>
          <w:rFonts w:hint="eastAsia" w:ascii="宋体" w:hAnsi="宋体" w:eastAsia="宋体" w:cs="宋体"/>
          <w:sz w:val="21"/>
          <w:szCs w:val="21"/>
        </w:rPr>
        <w:t>重新招标后投标截止时间止，投标人仍少于3个或者所有投标被否决的，属于必须审批或核准的工程建设项目，经原审批或核准部门批准后不再进行招标。</w:t>
      </w:r>
    </w:p>
    <w:p w14:paraId="1AF05821">
      <w:pPr>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t>9．纪律和监督</w:t>
      </w:r>
      <w:bookmarkEnd w:id="172"/>
      <w:bookmarkEnd w:id="173"/>
      <w:bookmarkEnd w:id="174"/>
      <w:bookmarkEnd w:id="175"/>
      <w:bookmarkEnd w:id="176"/>
    </w:p>
    <w:p w14:paraId="0F42035A">
      <w:pPr>
        <w:spacing w:line="360" w:lineRule="auto"/>
        <w:ind w:firstLine="422" w:firstLineChars="200"/>
        <w:outlineLvl w:val="2"/>
        <w:rPr>
          <w:rFonts w:hint="eastAsia" w:ascii="宋体" w:hAnsi="宋体" w:eastAsia="宋体" w:cs="宋体"/>
          <w:b/>
          <w:sz w:val="21"/>
          <w:szCs w:val="21"/>
        </w:rPr>
      </w:pPr>
      <w:bookmarkStart w:id="177" w:name="_Toc152042351"/>
      <w:bookmarkStart w:id="178" w:name="_Toc292897345"/>
      <w:bookmarkStart w:id="179" w:name="_Toc179632593"/>
      <w:bookmarkStart w:id="180" w:name="_Toc144974543"/>
      <w:bookmarkStart w:id="181" w:name="_Toc152045575"/>
      <w:r>
        <w:rPr>
          <w:rFonts w:hint="eastAsia" w:ascii="宋体" w:hAnsi="宋体" w:eastAsia="宋体" w:cs="宋体"/>
          <w:b/>
          <w:sz w:val="21"/>
          <w:szCs w:val="21"/>
        </w:rPr>
        <w:t>9.1 对采购人的纪律要求</w:t>
      </w:r>
      <w:bookmarkEnd w:id="177"/>
      <w:bookmarkEnd w:id="178"/>
      <w:bookmarkEnd w:id="179"/>
      <w:bookmarkEnd w:id="180"/>
      <w:bookmarkEnd w:id="181"/>
    </w:p>
    <w:p w14:paraId="3FF23A3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采购人不得泄漏招标投标活动中应当保密的情况和资料，不得与投标人串通损害国家利益、社会公共利益或者他人合法权益。</w:t>
      </w:r>
    </w:p>
    <w:p w14:paraId="363CEED5">
      <w:pPr>
        <w:spacing w:line="360" w:lineRule="auto"/>
        <w:ind w:firstLine="422" w:firstLineChars="200"/>
        <w:outlineLvl w:val="2"/>
        <w:rPr>
          <w:rFonts w:hint="eastAsia" w:ascii="宋体" w:hAnsi="宋体" w:eastAsia="宋体" w:cs="宋体"/>
          <w:b/>
          <w:sz w:val="21"/>
          <w:szCs w:val="21"/>
        </w:rPr>
      </w:pPr>
      <w:bookmarkStart w:id="182" w:name="_Toc152042352"/>
      <w:bookmarkStart w:id="183" w:name="_Toc292897346"/>
      <w:bookmarkStart w:id="184" w:name="_Toc152045576"/>
      <w:bookmarkStart w:id="185" w:name="_Toc179632594"/>
      <w:bookmarkStart w:id="186" w:name="_Toc144974544"/>
      <w:r>
        <w:rPr>
          <w:rFonts w:hint="eastAsia" w:ascii="宋体" w:hAnsi="宋体" w:eastAsia="宋体" w:cs="宋体"/>
          <w:b/>
          <w:sz w:val="21"/>
          <w:szCs w:val="21"/>
        </w:rPr>
        <w:t>9.2 对投标人的纪律要求</w:t>
      </w:r>
      <w:bookmarkEnd w:id="182"/>
      <w:bookmarkEnd w:id="183"/>
      <w:bookmarkEnd w:id="184"/>
      <w:bookmarkEnd w:id="185"/>
      <w:bookmarkEnd w:id="186"/>
    </w:p>
    <w:p w14:paraId="362DA7F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不得相互串通投标或者与采购人串通投标，不得向采购人或者评标委员会成员行贿谋取中标，不得以他人名义投标或者以其他方式弄虚作假骗取中标；投标人不得以任何方式干扰、影响评标工作。如发现投标人有上述不正当行为，将取消其投标资格或中标资格。</w:t>
      </w:r>
    </w:p>
    <w:p w14:paraId="5527E3EC">
      <w:pPr>
        <w:spacing w:line="360" w:lineRule="auto"/>
        <w:ind w:firstLine="422" w:firstLineChars="200"/>
        <w:rPr>
          <w:rFonts w:hint="eastAsia" w:ascii="宋体" w:hAnsi="宋体" w:eastAsia="宋体" w:cs="宋体"/>
          <w:b/>
          <w:sz w:val="21"/>
          <w:szCs w:val="21"/>
        </w:rPr>
      </w:pPr>
      <w:bookmarkStart w:id="187" w:name="_Toc152042353"/>
      <w:bookmarkStart w:id="188" w:name="_Toc152045577"/>
      <w:bookmarkStart w:id="189" w:name="_Toc144974545"/>
      <w:bookmarkStart w:id="190" w:name="_Toc179632595"/>
      <w:bookmarkStart w:id="191" w:name="_Toc292897347"/>
      <w:r>
        <w:rPr>
          <w:rFonts w:hint="eastAsia" w:ascii="宋体" w:hAnsi="宋体" w:eastAsia="宋体" w:cs="宋体"/>
          <w:b/>
          <w:sz w:val="21"/>
          <w:szCs w:val="21"/>
        </w:rPr>
        <w:t>9.3 对评标委员会成员的纪律要求</w:t>
      </w:r>
      <w:bookmarkEnd w:id="187"/>
      <w:bookmarkEnd w:id="188"/>
      <w:bookmarkEnd w:id="189"/>
      <w:bookmarkEnd w:id="190"/>
      <w:bookmarkEnd w:id="191"/>
    </w:p>
    <w:p w14:paraId="00885BB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1FF1CCE">
      <w:pPr>
        <w:spacing w:line="360" w:lineRule="auto"/>
        <w:ind w:firstLine="422" w:firstLineChars="200"/>
        <w:rPr>
          <w:rFonts w:hint="eastAsia" w:ascii="宋体" w:hAnsi="宋体" w:eastAsia="宋体" w:cs="宋体"/>
          <w:b/>
          <w:sz w:val="21"/>
          <w:szCs w:val="21"/>
        </w:rPr>
      </w:pPr>
      <w:bookmarkStart w:id="192" w:name="_Toc152045578"/>
      <w:bookmarkStart w:id="193" w:name="_Toc144974546"/>
      <w:bookmarkStart w:id="194" w:name="_Toc179632596"/>
      <w:bookmarkStart w:id="195" w:name="_Toc292897348"/>
      <w:bookmarkStart w:id="196" w:name="_Toc152042354"/>
      <w:r>
        <w:rPr>
          <w:rFonts w:hint="eastAsia" w:ascii="宋体" w:hAnsi="宋体" w:eastAsia="宋体" w:cs="宋体"/>
          <w:b/>
          <w:sz w:val="21"/>
          <w:szCs w:val="21"/>
        </w:rPr>
        <w:t>9.4 对与评标活动有关的工作人员和纪律要求</w:t>
      </w:r>
    </w:p>
    <w:p w14:paraId="7836566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与评标活动有关的工作人员不得收受他人的财物或者其他好处，不得向他人透漏对投标文件评审和比较、中标候选人的推荐情况及评标有关的其他情况。在评标活动中，与评标活动有关的工作人员不得擅离职守，影响评标程序正常进行。</w:t>
      </w:r>
    </w:p>
    <w:p w14:paraId="625902D8">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9.5投诉</w:t>
      </w:r>
    </w:p>
    <w:p w14:paraId="58FCAE2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投标人和其他利害关系人认为本次招标活动违反法律、法规和规章规定的，有权向有关行政监督部门投诉。</w:t>
      </w:r>
    </w:p>
    <w:p w14:paraId="21278FBF">
      <w:pPr>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t>10．需要补充的其他内容</w:t>
      </w:r>
    </w:p>
    <w:p w14:paraId="280AA70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需要补充的其他内容：见投标人须知前附表</w:t>
      </w:r>
    </w:p>
    <w:bookmarkEnd w:id="192"/>
    <w:bookmarkEnd w:id="193"/>
    <w:bookmarkEnd w:id="194"/>
    <w:bookmarkEnd w:id="195"/>
    <w:bookmarkEnd w:id="196"/>
    <w:p w14:paraId="13838108">
      <w:pPr>
        <w:rPr>
          <w:rFonts w:hint="eastAsia"/>
        </w:rPr>
      </w:pPr>
      <w:bookmarkStart w:id="197" w:name="_Toc119784537"/>
      <w:r>
        <w:rPr>
          <w:rFonts w:hint="eastAsia"/>
        </w:rPr>
        <w:br w:type="page"/>
      </w:r>
    </w:p>
    <w:p w14:paraId="3A59FCC9">
      <w:pPr>
        <w:bidi w:val="0"/>
        <w:jc w:val="center"/>
        <w:rPr>
          <w:rFonts w:hint="eastAsia"/>
          <w:b/>
          <w:bCs/>
          <w:sz w:val="32"/>
          <w:szCs w:val="40"/>
          <w:lang w:val="en-US" w:eastAsia="zh-CN"/>
        </w:rPr>
      </w:pPr>
      <w:r>
        <w:rPr>
          <w:rFonts w:hint="eastAsia"/>
          <w:b/>
          <w:bCs/>
          <w:sz w:val="32"/>
          <w:szCs w:val="40"/>
          <w:lang w:val="en-US" w:eastAsia="zh-CN"/>
        </w:rPr>
        <w:t>第三章  评标办法</w:t>
      </w:r>
      <w:bookmarkEnd w:id="197"/>
    </w:p>
    <w:p w14:paraId="4AFC07AB">
      <w:pPr>
        <w:spacing w:line="480" w:lineRule="auto"/>
        <w:jc w:val="center"/>
        <w:outlineLvl w:val="1"/>
        <w:rPr>
          <w:rFonts w:ascii="宋体" w:hAnsi="宋体"/>
          <w:b/>
          <w:sz w:val="28"/>
          <w:szCs w:val="28"/>
        </w:rPr>
      </w:pPr>
      <w:r>
        <w:rPr>
          <w:rFonts w:hint="eastAsia" w:ascii="宋体" w:hAnsi="宋体"/>
          <w:b/>
          <w:sz w:val="28"/>
          <w:szCs w:val="28"/>
        </w:rPr>
        <w:t>评标办法前附表</w:t>
      </w:r>
    </w:p>
    <w:tbl>
      <w:tblPr>
        <w:tblStyle w:val="21"/>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2"/>
        <w:gridCol w:w="909"/>
        <w:gridCol w:w="273"/>
        <w:gridCol w:w="957"/>
        <w:gridCol w:w="1829"/>
        <w:gridCol w:w="4913"/>
      </w:tblGrid>
      <w:tr w14:paraId="02BC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07" w:type="dxa"/>
            <w:gridSpan w:val="4"/>
            <w:vAlign w:val="center"/>
          </w:tcPr>
          <w:p w14:paraId="4A46CBBC">
            <w:pPr>
              <w:spacing w:line="300" w:lineRule="exact"/>
              <w:jc w:val="center"/>
              <w:rPr>
                <w:rFonts w:ascii="宋体" w:hAnsi="宋体"/>
                <w:b/>
                <w:szCs w:val="21"/>
              </w:rPr>
            </w:pPr>
            <w:r>
              <w:rPr>
                <w:rFonts w:hint="eastAsia" w:ascii="宋体" w:hAnsi="宋体"/>
                <w:b/>
                <w:szCs w:val="21"/>
              </w:rPr>
              <w:t>条款号</w:t>
            </w:r>
          </w:p>
        </w:tc>
        <w:tc>
          <w:tcPr>
            <w:tcW w:w="2786" w:type="dxa"/>
            <w:gridSpan w:val="2"/>
            <w:vAlign w:val="center"/>
          </w:tcPr>
          <w:p w14:paraId="35844E78">
            <w:pPr>
              <w:spacing w:line="300" w:lineRule="exact"/>
              <w:jc w:val="center"/>
              <w:rPr>
                <w:rFonts w:ascii="宋体" w:hAnsi="宋体"/>
                <w:b/>
                <w:szCs w:val="21"/>
              </w:rPr>
            </w:pPr>
            <w:r>
              <w:rPr>
                <w:rFonts w:hint="eastAsia" w:ascii="宋体" w:hAnsi="宋体"/>
                <w:b/>
                <w:szCs w:val="21"/>
              </w:rPr>
              <w:t>评审因素</w:t>
            </w:r>
          </w:p>
        </w:tc>
        <w:tc>
          <w:tcPr>
            <w:tcW w:w="4913" w:type="dxa"/>
            <w:vAlign w:val="center"/>
          </w:tcPr>
          <w:p w14:paraId="05664020">
            <w:pPr>
              <w:spacing w:line="300" w:lineRule="exact"/>
              <w:jc w:val="center"/>
              <w:rPr>
                <w:rFonts w:ascii="宋体" w:hAnsi="宋体"/>
                <w:b/>
                <w:szCs w:val="21"/>
              </w:rPr>
            </w:pPr>
            <w:r>
              <w:rPr>
                <w:rFonts w:hint="eastAsia" w:ascii="宋体" w:hAnsi="宋体"/>
                <w:b/>
                <w:szCs w:val="21"/>
              </w:rPr>
              <w:t>评审标准</w:t>
            </w:r>
          </w:p>
        </w:tc>
      </w:tr>
      <w:tr w14:paraId="30F5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25" w:type="dxa"/>
            <w:gridSpan w:val="2"/>
            <w:vMerge w:val="restart"/>
            <w:vAlign w:val="center"/>
          </w:tcPr>
          <w:p w14:paraId="3BDCFF70">
            <w:pPr>
              <w:spacing w:line="300" w:lineRule="exact"/>
              <w:jc w:val="center"/>
              <w:rPr>
                <w:rFonts w:ascii="宋体" w:hAnsi="宋体"/>
                <w:szCs w:val="21"/>
              </w:rPr>
            </w:pPr>
            <w:r>
              <w:rPr>
                <w:rFonts w:hint="eastAsia" w:ascii="宋体" w:hAnsi="宋体"/>
                <w:szCs w:val="21"/>
              </w:rPr>
              <w:t>2.1.1</w:t>
            </w:r>
          </w:p>
        </w:tc>
        <w:tc>
          <w:tcPr>
            <w:tcW w:w="1182" w:type="dxa"/>
            <w:gridSpan w:val="2"/>
            <w:vMerge w:val="restart"/>
            <w:vAlign w:val="center"/>
          </w:tcPr>
          <w:p w14:paraId="4DB8334D">
            <w:pPr>
              <w:spacing w:line="300" w:lineRule="exact"/>
              <w:jc w:val="center"/>
              <w:rPr>
                <w:rFonts w:ascii="宋体" w:hAnsi="宋体"/>
                <w:szCs w:val="21"/>
              </w:rPr>
            </w:pPr>
            <w:r>
              <w:rPr>
                <w:rFonts w:hint="eastAsia" w:ascii="宋体" w:hAnsi="宋体"/>
                <w:szCs w:val="21"/>
              </w:rPr>
              <w:t>形式评审</w:t>
            </w:r>
          </w:p>
          <w:p w14:paraId="2500E020">
            <w:pPr>
              <w:spacing w:line="300" w:lineRule="exact"/>
              <w:jc w:val="center"/>
              <w:rPr>
                <w:rFonts w:ascii="宋体" w:hAnsi="宋体"/>
                <w:szCs w:val="21"/>
              </w:rPr>
            </w:pPr>
            <w:r>
              <w:rPr>
                <w:rFonts w:hint="eastAsia" w:ascii="宋体" w:hAnsi="宋体"/>
                <w:szCs w:val="21"/>
              </w:rPr>
              <w:t>标准</w:t>
            </w:r>
          </w:p>
        </w:tc>
        <w:tc>
          <w:tcPr>
            <w:tcW w:w="2786" w:type="dxa"/>
            <w:gridSpan w:val="2"/>
            <w:vAlign w:val="center"/>
          </w:tcPr>
          <w:p w14:paraId="04988ABF">
            <w:pPr>
              <w:spacing w:line="300" w:lineRule="exact"/>
              <w:jc w:val="center"/>
              <w:rPr>
                <w:rFonts w:ascii="宋体" w:hAnsi="宋体"/>
                <w:szCs w:val="21"/>
              </w:rPr>
            </w:pPr>
            <w:r>
              <w:rPr>
                <w:rFonts w:hint="eastAsia" w:ascii="宋体" w:hAnsi="宋体"/>
                <w:szCs w:val="21"/>
              </w:rPr>
              <w:t>投标人名称</w:t>
            </w:r>
          </w:p>
        </w:tc>
        <w:tc>
          <w:tcPr>
            <w:tcW w:w="4913" w:type="dxa"/>
            <w:vAlign w:val="center"/>
          </w:tcPr>
          <w:p w14:paraId="345730AE">
            <w:pPr>
              <w:spacing w:line="300" w:lineRule="exact"/>
              <w:rPr>
                <w:rFonts w:ascii="宋体" w:hAnsi="宋体"/>
                <w:szCs w:val="21"/>
              </w:rPr>
            </w:pPr>
            <w:r>
              <w:rPr>
                <w:rFonts w:hint="eastAsia" w:ascii="宋体" w:hAnsi="宋体"/>
                <w:szCs w:val="21"/>
              </w:rPr>
              <w:t>与营业执照一致</w:t>
            </w:r>
          </w:p>
        </w:tc>
      </w:tr>
      <w:tr w14:paraId="35C9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25" w:type="dxa"/>
            <w:gridSpan w:val="2"/>
            <w:vMerge w:val="continue"/>
            <w:vAlign w:val="center"/>
          </w:tcPr>
          <w:p w14:paraId="2E4299B7">
            <w:pPr>
              <w:spacing w:line="300" w:lineRule="exact"/>
              <w:jc w:val="center"/>
              <w:rPr>
                <w:rFonts w:ascii="宋体" w:hAnsi="宋体"/>
                <w:szCs w:val="21"/>
              </w:rPr>
            </w:pPr>
          </w:p>
        </w:tc>
        <w:tc>
          <w:tcPr>
            <w:tcW w:w="1182" w:type="dxa"/>
            <w:gridSpan w:val="2"/>
            <w:vMerge w:val="continue"/>
            <w:vAlign w:val="center"/>
          </w:tcPr>
          <w:p w14:paraId="56DA400E">
            <w:pPr>
              <w:spacing w:line="300" w:lineRule="exact"/>
              <w:jc w:val="center"/>
              <w:rPr>
                <w:rFonts w:ascii="宋体" w:hAnsi="宋体"/>
                <w:szCs w:val="21"/>
              </w:rPr>
            </w:pPr>
          </w:p>
        </w:tc>
        <w:tc>
          <w:tcPr>
            <w:tcW w:w="2786" w:type="dxa"/>
            <w:gridSpan w:val="2"/>
            <w:vAlign w:val="center"/>
          </w:tcPr>
          <w:p w14:paraId="6A114A54">
            <w:pPr>
              <w:spacing w:line="300" w:lineRule="exact"/>
              <w:jc w:val="center"/>
              <w:rPr>
                <w:rFonts w:ascii="宋体" w:hAnsi="宋体"/>
                <w:szCs w:val="21"/>
              </w:rPr>
            </w:pPr>
            <w:r>
              <w:rPr>
                <w:rFonts w:hint="eastAsia" w:ascii="宋体" w:hAnsi="宋体"/>
                <w:szCs w:val="21"/>
              </w:rPr>
              <w:t>投标函签字盖章</w:t>
            </w:r>
          </w:p>
        </w:tc>
        <w:tc>
          <w:tcPr>
            <w:tcW w:w="4913" w:type="dxa"/>
            <w:vAlign w:val="center"/>
          </w:tcPr>
          <w:p w14:paraId="4EA196F0">
            <w:pPr>
              <w:spacing w:line="300" w:lineRule="exact"/>
              <w:rPr>
                <w:rFonts w:ascii="宋体" w:hAnsi="宋体"/>
                <w:szCs w:val="21"/>
              </w:rPr>
            </w:pPr>
            <w:r>
              <w:rPr>
                <w:rFonts w:hint="eastAsia" w:ascii="宋体" w:hAnsi="宋体" w:cs="宋体"/>
                <w:szCs w:val="21"/>
              </w:rPr>
              <w:t>按照投标文件的格式及要求签字盖章</w:t>
            </w:r>
          </w:p>
        </w:tc>
      </w:tr>
      <w:tr w14:paraId="4403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25" w:type="dxa"/>
            <w:gridSpan w:val="2"/>
            <w:vMerge w:val="continue"/>
            <w:vAlign w:val="center"/>
          </w:tcPr>
          <w:p w14:paraId="0738E319">
            <w:pPr>
              <w:spacing w:line="300" w:lineRule="exact"/>
              <w:jc w:val="center"/>
              <w:rPr>
                <w:rFonts w:ascii="宋体" w:hAnsi="宋体"/>
                <w:szCs w:val="21"/>
              </w:rPr>
            </w:pPr>
          </w:p>
        </w:tc>
        <w:tc>
          <w:tcPr>
            <w:tcW w:w="1182" w:type="dxa"/>
            <w:gridSpan w:val="2"/>
            <w:vMerge w:val="continue"/>
            <w:vAlign w:val="center"/>
          </w:tcPr>
          <w:p w14:paraId="1D02DB51">
            <w:pPr>
              <w:spacing w:line="300" w:lineRule="exact"/>
              <w:jc w:val="center"/>
              <w:rPr>
                <w:rFonts w:ascii="宋体" w:hAnsi="宋体"/>
                <w:szCs w:val="21"/>
              </w:rPr>
            </w:pPr>
          </w:p>
        </w:tc>
        <w:tc>
          <w:tcPr>
            <w:tcW w:w="2786" w:type="dxa"/>
            <w:gridSpan w:val="2"/>
            <w:vAlign w:val="center"/>
          </w:tcPr>
          <w:p w14:paraId="6F3BE28F">
            <w:pPr>
              <w:spacing w:line="300" w:lineRule="exact"/>
              <w:jc w:val="center"/>
              <w:rPr>
                <w:rFonts w:ascii="宋体" w:hAnsi="宋体"/>
                <w:szCs w:val="21"/>
              </w:rPr>
            </w:pPr>
            <w:r>
              <w:rPr>
                <w:rFonts w:hint="eastAsia" w:ascii="宋体" w:hAnsi="宋体"/>
                <w:szCs w:val="21"/>
              </w:rPr>
              <w:t>投标文件格式</w:t>
            </w:r>
          </w:p>
        </w:tc>
        <w:tc>
          <w:tcPr>
            <w:tcW w:w="4913" w:type="dxa"/>
            <w:vAlign w:val="center"/>
          </w:tcPr>
          <w:p w14:paraId="30ACE236">
            <w:pPr>
              <w:spacing w:line="300" w:lineRule="exact"/>
              <w:rPr>
                <w:rFonts w:ascii="宋体" w:hAnsi="宋体"/>
                <w:szCs w:val="21"/>
              </w:rPr>
            </w:pPr>
            <w:r>
              <w:rPr>
                <w:rFonts w:hint="eastAsia" w:ascii="宋体" w:hAnsi="宋体"/>
                <w:szCs w:val="21"/>
              </w:rPr>
              <w:t>符合第六章“投标文件格式”的要求</w:t>
            </w:r>
          </w:p>
        </w:tc>
      </w:tr>
      <w:tr w14:paraId="77D9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25" w:type="dxa"/>
            <w:gridSpan w:val="2"/>
            <w:vMerge w:val="continue"/>
            <w:vAlign w:val="center"/>
          </w:tcPr>
          <w:p w14:paraId="2942601F">
            <w:pPr>
              <w:spacing w:line="300" w:lineRule="exact"/>
              <w:jc w:val="center"/>
              <w:rPr>
                <w:rFonts w:ascii="宋体" w:hAnsi="宋体"/>
                <w:szCs w:val="21"/>
              </w:rPr>
            </w:pPr>
          </w:p>
        </w:tc>
        <w:tc>
          <w:tcPr>
            <w:tcW w:w="1182" w:type="dxa"/>
            <w:gridSpan w:val="2"/>
            <w:vMerge w:val="continue"/>
            <w:vAlign w:val="center"/>
          </w:tcPr>
          <w:p w14:paraId="2D456E8C">
            <w:pPr>
              <w:spacing w:line="300" w:lineRule="exact"/>
              <w:jc w:val="center"/>
              <w:rPr>
                <w:rFonts w:ascii="宋体" w:hAnsi="宋体"/>
                <w:szCs w:val="21"/>
              </w:rPr>
            </w:pPr>
          </w:p>
        </w:tc>
        <w:tc>
          <w:tcPr>
            <w:tcW w:w="2786" w:type="dxa"/>
            <w:gridSpan w:val="2"/>
            <w:vAlign w:val="center"/>
          </w:tcPr>
          <w:p w14:paraId="72A73EF2">
            <w:pPr>
              <w:spacing w:line="300" w:lineRule="exact"/>
              <w:jc w:val="center"/>
              <w:rPr>
                <w:rFonts w:ascii="宋体" w:hAnsi="宋体"/>
                <w:szCs w:val="21"/>
              </w:rPr>
            </w:pPr>
            <w:r>
              <w:rPr>
                <w:rFonts w:hint="eastAsia" w:ascii="宋体" w:hAnsi="宋体"/>
                <w:szCs w:val="21"/>
              </w:rPr>
              <w:t>报价唯一</w:t>
            </w:r>
          </w:p>
        </w:tc>
        <w:tc>
          <w:tcPr>
            <w:tcW w:w="4913" w:type="dxa"/>
            <w:vAlign w:val="center"/>
          </w:tcPr>
          <w:p w14:paraId="19C40CF4">
            <w:pPr>
              <w:spacing w:line="300" w:lineRule="exact"/>
              <w:rPr>
                <w:rFonts w:ascii="宋体" w:hAnsi="宋体"/>
                <w:szCs w:val="21"/>
              </w:rPr>
            </w:pPr>
            <w:r>
              <w:rPr>
                <w:rFonts w:hint="eastAsia" w:ascii="宋体" w:hAnsi="宋体"/>
                <w:szCs w:val="21"/>
              </w:rPr>
              <w:t>只能有一个有效报价</w:t>
            </w:r>
          </w:p>
        </w:tc>
      </w:tr>
      <w:tr w14:paraId="3CA6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025" w:type="dxa"/>
            <w:gridSpan w:val="2"/>
            <w:vMerge w:val="restart"/>
            <w:vAlign w:val="center"/>
          </w:tcPr>
          <w:p w14:paraId="649EF9F0">
            <w:pPr>
              <w:spacing w:line="300" w:lineRule="exact"/>
              <w:jc w:val="center"/>
              <w:rPr>
                <w:rFonts w:ascii="宋体" w:hAnsi="宋体"/>
                <w:szCs w:val="21"/>
              </w:rPr>
            </w:pPr>
            <w:r>
              <w:rPr>
                <w:rFonts w:hint="eastAsia" w:ascii="宋体" w:hAnsi="宋体"/>
                <w:szCs w:val="21"/>
              </w:rPr>
              <w:t>2.1.2</w:t>
            </w:r>
          </w:p>
        </w:tc>
        <w:tc>
          <w:tcPr>
            <w:tcW w:w="1182" w:type="dxa"/>
            <w:gridSpan w:val="2"/>
            <w:vMerge w:val="restart"/>
            <w:vAlign w:val="center"/>
          </w:tcPr>
          <w:p w14:paraId="34AC721D">
            <w:pPr>
              <w:spacing w:line="300" w:lineRule="exact"/>
              <w:jc w:val="center"/>
              <w:rPr>
                <w:rFonts w:ascii="宋体" w:hAnsi="宋体"/>
                <w:szCs w:val="21"/>
              </w:rPr>
            </w:pPr>
            <w:r>
              <w:rPr>
                <w:rFonts w:hint="eastAsia" w:ascii="宋体" w:hAnsi="宋体"/>
                <w:szCs w:val="21"/>
              </w:rPr>
              <w:t>资格评审</w:t>
            </w:r>
          </w:p>
          <w:p w14:paraId="5DA4537F">
            <w:pPr>
              <w:spacing w:line="300" w:lineRule="exact"/>
              <w:jc w:val="center"/>
              <w:rPr>
                <w:rFonts w:ascii="宋体" w:hAnsi="宋体"/>
                <w:szCs w:val="21"/>
              </w:rPr>
            </w:pPr>
            <w:r>
              <w:rPr>
                <w:rFonts w:hint="eastAsia" w:ascii="宋体" w:hAnsi="宋体"/>
                <w:szCs w:val="21"/>
              </w:rPr>
              <w:t>标准</w:t>
            </w:r>
          </w:p>
        </w:tc>
        <w:tc>
          <w:tcPr>
            <w:tcW w:w="7699" w:type="dxa"/>
            <w:gridSpan w:val="3"/>
            <w:vAlign w:val="center"/>
          </w:tcPr>
          <w:p w14:paraId="19D5698D">
            <w:pPr>
              <w:rPr>
                <w:rFonts w:ascii="宋体" w:hAnsi="宋体"/>
                <w:szCs w:val="21"/>
              </w:rPr>
            </w:pPr>
            <w:r>
              <w:rPr>
                <w:rFonts w:hint="eastAsia" w:ascii="宋体" w:hAnsi="宋体"/>
                <w:szCs w:val="21"/>
              </w:rPr>
              <w:t>符合第二章“投标人须知前附表”第</w:t>
            </w:r>
            <w:r>
              <w:rPr>
                <w:rFonts w:ascii="宋体" w:hAnsi="宋体"/>
                <w:szCs w:val="21"/>
              </w:rPr>
              <w:t>12</w:t>
            </w:r>
            <w:r>
              <w:rPr>
                <w:rFonts w:hint="eastAsia" w:ascii="宋体" w:hAnsi="宋体"/>
                <w:szCs w:val="21"/>
              </w:rPr>
              <w:t>项规定</w:t>
            </w:r>
          </w:p>
        </w:tc>
      </w:tr>
      <w:tr w14:paraId="5DEE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25" w:type="dxa"/>
            <w:gridSpan w:val="2"/>
            <w:vMerge w:val="restart"/>
            <w:vAlign w:val="center"/>
          </w:tcPr>
          <w:p w14:paraId="1536FCE1">
            <w:pPr>
              <w:spacing w:line="300" w:lineRule="exact"/>
              <w:jc w:val="center"/>
              <w:rPr>
                <w:rFonts w:ascii="宋体" w:hAnsi="宋体"/>
                <w:szCs w:val="21"/>
              </w:rPr>
            </w:pPr>
            <w:r>
              <w:rPr>
                <w:rFonts w:hint="eastAsia" w:ascii="宋体" w:hAnsi="宋体"/>
                <w:szCs w:val="21"/>
              </w:rPr>
              <w:t>2.1.3</w:t>
            </w:r>
          </w:p>
        </w:tc>
        <w:tc>
          <w:tcPr>
            <w:tcW w:w="1182" w:type="dxa"/>
            <w:gridSpan w:val="2"/>
            <w:vMerge w:val="restart"/>
            <w:vAlign w:val="center"/>
          </w:tcPr>
          <w:p w14:paraId="599767B1">
            <w:pPr>
              <w:spacing w:line="300" w:lineRule="exact"/>
              <w:jc w:val="center"/>
              <w:rPr>
                <w:rFonts w:ascii="宋体" w:hAnsi="宋体"/>
                <w:szCs w:val="21"/>
              </w:rPr>
            </w:pPr>
            <w:r>
              <w:rPr>
                <w:rFonts w:hint="eastAsia" w:ascii="宋体" w:hAnsi="宋体"/>
                <w:szCs w:val="21"/>
              </w:rPr>
              <w:t>响应性评审标准</w:t>
            </w:r>
          </w:p>
        </w:tc>
        <w:tc>
          <w:tcPr>
            <w:tcW w:w="2786" w:type="dxa"/>
            <w:gridSpan w:val="2"/>
            <w:vAlign w:val="center"/>
          </w:tcPr>
          <w:p w14:paraId="30A25D6D">
            <w:pPr>
              <w:spacing w:line="400" w:lineRule="exact"/>
              <w:jc w:val="center"/>
              <w:rPr>
                <w:rFonts w:ascii="宋体" w:hAnsi="宋体"/>
                <w:szCs w:val="21"/>
              </w:rPr>
            </w:pPr>
            <w:r>
              <w:rPr>
                <w:rFonts w:hint="eastAsia" w:ascii="宋体" w:hAnsi="宋体" w:cs="宋体"/>
                <w:szCs w:val="21"/>
              </w:rPr>
              <w:t>投标内容</w:t>
            </w:r>
          </w:p>
        </w:tc>
        <w:tc>
          <w:tcPr>
            <w:tcW w:w="4913" w:type="dxa"/>
            <w:vAlign w:val="center"/>
          </w:tcPr>
          <w:p w14:paraId="20CEE6BB">
            <w:pPr>
              <w:spacing w:line="400" w:lineRule="exact"/>
              <w:jc w:val="left"/>
              <w:rPr>
                <w:rFonts w:ascii="宋体" w:hAnsi="宋体"/>
                <w:szCs w:val="21"/>
              </w:rPr>
            </w:pPr>
            <w:r>
              <w:rPr>
                <w:rFonts w:hint="eastAsia" w:ascii="宋体" w:hAnsi="宋体" w:cs="宋体"/>
                <w:szCs w:val="21"/>
              </w:rPr>
              <w:t>符合第二章“</w:t>
            </w:r>
            <w:r>
              <w:rPr>
                <w:rFonts w:hint="eastAsia" w:ascii="宋体" w:hAnsi="宋体"/>
                <w:szCs w:val="21"/>
              </w:rPr>
              <w:t>投标人须知前附表</w:t>
            </w:r>
            <w:r>
              <w:rPr>
                <w:rFonts w:hint="eastAsia" w:ascii="宋体" w:hAnsi="宋体" w:cs="宋体"/>
                <w:szCs w:val="21"/>
              </w:rPr>
              <w:t>”第</w:t>
            </w:r>
            <w:r>
              <w:rPr>
                <w:rFonts w:ascii="宋体" w:hAnsi="宋体" w:cs="宋体"/>
                <w:szCs w:val="21"/>
              </w:rPr>
              <w:t>8</w:t>
            </w:r>
            <w:r>
              <w:rPr>
                <w:rFonts w:hint="eastAsia" w:ascii="宋体" w:hAnsi="宋体" w:cs="宋体"/>
                <w:szCs w:val="21"/>
              </w:rPr>
              <w:t>项规定</w:t>
            </w:r>
          </w:p>
        </w:tc>
      </w:tr>
      <w:tr w14:paraId="60F4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25" w:type="dxa"/>
            <w:gridSpan w:val="2"/>
            <w:vMerge w:val="continue"/>
            <w:vAlign w:val="center"/>
          </w:tcPr>
          <w:p w14:paraId="4AC7FAC3">
            <w:pPr>
              <w:spacing w:line="300" w:lineRule="exact"/>
              <w:jc w:val="center"/>
              <w:rPr>
                <w:rFonts w:ascii="宋体" w:hAnsi="宋体"/>
                <w:szCs w:val="21"/>
              </w:rPr>
            </w:pPr>
          </w:p>
        </w:tc>
        <w:tc>
          <w:tcPr>
            <w:tcW w:w="1182" w:type="dxa"/>
            <w:gridSpan w:val="2"/>
            <w:vMerge w:val="continue"/>
            <w:vAlign w:val="center"/>
          </w:tcPr>
          <w:p w14:paraId="50356F60">
            <w:pPr>
              <w:spacing w:line="300" w:lineRule="exact"/>
              <w:jc w:val="center"/>
              <w:rPr>
                <w:rFonts w:ascii="宋体" w:hAnsi="宋体"/>
                <w:szCs w:val="21"/>
              </w:rPr>
            </w:pPr>
          </w:p>
        </w:tc>
        <w:tc>
          <w:tcPr>
            <w:tcW w:w="2786" w:type="dxa"/>
            <w:gridSpan w:val="2"/>
            <w:vAlign w:val="center"/>
          </w:tcPr>
          <w:p w14:paraId="4BCD28B9">
            <w:pPr>
              <w:spacing w:line="300" w:lineRule="exact"/>
              <w:jc w:val="center"/>
              <w:rPr>
                <w:rFonts w:ascii="宋体" w:hAnsi="宋体"/>
                <w:szCs w:val="21"/>
              </w:rPr>
            </w:pPr>
            <w:r>
              <w:rPr>
                <w:rFonts w:hint="eastAsia" w:ascii="宋体" w:hAnsi="宋体"/>
                <w:szCs w:val="21"/>
              </w:rPr>
              <w:t>供货期限</w:t>
            </w:r>
          </w:p>
        </w:tc>
        <w:tc>
          <w:tcPr>
            <w:tcW w:w="4913" w:type="dxa"/>
            <w:vAlign w:val="center"/>
          </w:tcPr>
          <w:p w14:paraId="03AE1F73">
            <w:pPr>
              <w:spacing w:line="300" w:lineRule="exact"/>
              <w:rPr>
                <w:rFonts w:ascii="宋体" w:hAnsi="宋体"/>
                <w:szCs w:val="21"/>
              </w:rPr>
            </w:pPr>
            <w:r>
              <w:rPr>
                <w:rFonts w:hint="eastAsia" w:ascii="宋体" w:hAnsi="宋体"/>
                <w:szCs w:val="21"/>
              </w:rPr>
              <w:t>符合或优于第二章“投标人须知前附表”第</w:t>
            </w:r>
            <w:r>
              <w:rPr>
                <w:rFonts w:ascii="宋体" w:hAnsi="宋体"/>
                <w:szCs w:val="21"/>
              </w:rPr>
              <w:t>9</w:t>
            </w:r>
            <w:r>
              <w:rPr>
                <w:rFonts w:hint="eastAsia" w:ascii="宋体" w:hAnsi="宋体"/>
                <w:szCs w:val="21"/>
              </w:rPr>
              <w:t>项规定</w:t>
            </w:r>
          </w:p>
        </w:tc>
      </w:tr>
      <w:tr w14:paraId="696C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25" w:type="dxa"/>
            <w:gridSpan w:val="2"/>
            <w:vMerge w:val="continue"/>
            <w:vAlign w:val="center"/>
          </w:tcPr>
          <w:p w14:paraId="76228C62">
            <w:pPr>
              <w:spacing w:line="300" w:lineRule="exact"/>
              <w:jc w:val="center"/>
              <w:rPr>
                <w:rFonts w:ascii="宋体" w:hAnsi="宋体"/>
                <w:szCs w:val="21"/>
              </w:rPr>
            </w:pPr>
          </w:p>
        </w:tc>
        <w:tc>
          <w:tcPr>
            <w:tcW w:w="1182" w:type="dxa"/>
            <w:gridSpan w:val="2"/>
            <w:vMerge w:val="continue"/>
            <w:vAlign w:val="center"/>
          </w:tcPr>
          <w:p w14:paraId="0A627041">
            <w:pPr>
              <w:spacing w:line="300" w:lineRule="exact"/>
              <w:jc w:val="center"/>
              <w:rPr>
                <w:rFonts w:ascii="宋体" w:hAnsi="宋体"/>
                <w:szCs w:val="21"/>
              </w:rPr>
            </w:pPr>
          </w:p>
        </w:tc>
        <w:tc>
          <w:tcPr>
            <w:tcW w:w="2786" w:type="dxa"/>
            <w:gridSpan w:val="2"/>
            <w:vAlign w:val="center"/>
          </w:tcPr>
          <w:p w14:paraId="79F34DCE">
            <w:pPr>
              <w:spacing w:line="300" w:lineRule="exact"/>
              <w:jc w:val="center"/>
              <w:rPr>
                <w:rFonts w:ascii="宋体" w:hAnsi="宋体"/>
                <w:szCs w:val="21"/>
              </w:rPr>
            </w:pPr>
            <w:r>
              <w:rPr>
                <w:rFonts w:hint="eastAsia" w:ascii="宋体" w:hAnsi="宋体"/>
                <w:szCs w:val="21"/>
              </w:rPr>
              <w:t>投标有效期</w:t>
            </w:r>
          </w:p>
        </w:tc>
        <w:tc>
          <w:tcPr>
            <w:tcW w:w="4913" w:type="dxa"/>
            <w:vAlign w:val="center"/>
          </w:tcPr>
          <w:p w14:paraId="66A71CD6">
            <w:pPr>
              <w:spacing w:line="300" w:lineRule="exact"/>
              <w:rPr>
                <w:rFonts w:ascii="宋体" w:hAnsi="宋体"/>
                <w:szCs w:val="21"/>
              </w:rPr>
            </w:pPr>
            <w:r>
              <w:rPr>
                <w:rFonts w:hint="eastAsia" w:ascii="宋体" w:hAnsi="宋体"/>
                <w:szCs w:val="21"/>
              </w:rPr>
              <w:t>符合或优于第二章“投标人须知前附表”第</w:t>
            </w:r>
            <w:r>
              <w:rPr>
                <w:rFonts w:ascii="宋体" w:hAnsi="宋体"/>
                <w:szCs w:val="21"/>
              </w:rPr>
              <w:t>15</w:t>
            </w:r>
            <w:r>
              <w:rPr>
                <w:rFonts w:hint="eastAsia" w:ascii="宋体" w:hAnsi="宋体"/>
                <w:szCs w:val="21"/>
              </w:rPr>
              <w:t>项规定</w:t>
            </w:r>
          </w:p>
        </w:tc>
      </w:tr>
      <w:tr w14:paraId="1680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25" w:type="dxa"/>
            <w:gridSpan w:val="2"/>
            <w:vMerge w:val="continue"/>
            <w:vAlign w:val="center"/>
          </w:tcPr>
          <w:p w14:paraId="3B30A1E4">
            <w:pPr>
              <w:spacing w:line="300" w:lineRule="exact"/>
              <w:jc w:val="center"/>
              <w:rPr>
                <w:rFonts w:ascii="宋体" w:hAnsi="宋体"/>
                <w:szCs w:val="21"/>
              </w:rPr>
            </w:pPr>
          </w:p>
        </w:tc>
        <w:tc>
          <w:tcPr>
            <w:tcW w:w="1182" w:type="dxa"/>
            <w:gridSpan w:val="2"/>
            <w:vMerge w:val="continue"/>
            <w:vAlign w:val="center"/>
          </w:tcPr>
          <w:p w14:paraId="1D464B73">
            <w:pPr>
              <w:spacing w:line="300" w:lineRule="exact"/>
              <w:jc w:val="center"/>
              <w:rPr>
                <w:rFonts w:ascii="宋体" w:hAnsi="宋体"/>
                <w:szCs w:val="21"/>
              </w:rPr>
            </w:pPr>
          </w:p>
        </w:tc>
        <w:tc>
          <w:tcPr>
            <w:tcW w:w="2786" w:type="dxa"/>
            <w:gridSpan w:val="2"/>
            <w:vAlign w:val="center"/>
          </w:tcPr>
          <w:p w14:paraId="4F40CED3">
            <w:pPr>
              <w:spacing w:line="300" w:lineRule="exact"/>
              <w:jc w:val="center"/>
              <w:rPr>
                <w:rFonts w:ascii="宋体" w:hAnsi="宋体"/>
                <w:szCs w:val="21"/>
              </w:rPr>
            </w:pPr>
            <w:r>
              <w:rPr>
                <w:rFonts w:hint="eastAsia" w:ascii="宋体" w:hAnsi="宋体"/>
                <w:szCs w:val="21"/>
              </w:rPr>
              <w:t>质量要求</w:t>
            </w:r>
          </w:p>
        </w:tc>
        <w:tc>
          <w:tcPr>
            <w:tcW w:w="4913" w:type="dxa"/>
            <w:vAlign w:val="center"/>
          </w:tcPr>
          <w:p w14:paraId="40EB4C75">
            <w:pPr>
              <w:spacing w:line="300" w:lineRule="exact"/>
              <w:rPr>
                <w:rFonts w:ascii="宋体" w:hAnsi="宋体"/>
                <w:szCs w:val="21"/>
              </w:rPr>
            </w:pPr>
            <w:r>
              <w:rPr>
                <w:rFonts w:hint="eastAsia" w:ascii="宋体" w:hAnsi="宋体"/>
                <w:szCs w:val="21"/>
              </w:rPr>
              <w:t>符合第二章“投标人须知前附表”第</w:t>
            </w:r>
            <w:r>
              <w:rPr>
                <w:rFonts w:ascii="宋体" w:hAnsi="宋体"/>
                <w:szCs w:val="21"/>
              </w:rPr>
              <w:t>10</w:t>
            </w:r>
            <w:r>
              <w:rPr>
                <w:rFonts w:hint="eastAsia" w:ascii="宋体" w:hAnsi="宋体"/>
                <w:szCs w:val="21"/>
              </w:rPr>
              <w:t>项规定</w:t>
            </w:r>
          </w:p>
        </w:tc>
      </w:tr>
      <w:tr w14:paraId="0C58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025" w:type="dxa"/>
            <w:gridSpan w:val="2"/>
            <w:vMerge w:val="continue"/>
            <w:vAlign w:val="center"/>
          </w:tcPr>
          <w:p w14:paraId="51B80BE6">
            <w:pPr>
              <w:spacing w:line="300" w:lineRule="exact"/>
              <w:jc w:val="center"/>
              <w:rPr>
                <w:rFonts w:ascii="宋体" w:hAnsi="宋体"/>
                <w:szCs w:val="21"/>
              </w:rPr>
            </w:pPr>
          </w:p>
        </w:tc>
        <w:tc>
          <w:tcPr>
            <w:tcW w:w="1182" w:type="dxa"/>
            <w:gridSpan w:val="2"/>
            <w:vMerge w:val="continue"/>
            <w:vAlign w:val="center"/>
          </w:tcPr>
          <w:p w14:paraId="35C8BBBE">
            <w:pPr>
              <w:spacing w:line="300" w:lineRule="exact"/>
              <w:jc w:val="center"/>
              <w:rPr>
                <w:rFonts w:ascii="宋体" w:hAnsi="宋体"/>
                <w:szCs w:val="21"/>
              </w:rPr>
            </w:pPr>
          </w:p>
        </w:tc>
        <w:tc>
          <w:tcPr>
            <w:tcW w:w="2786" w:type="dxa"/>
            <w:gridSpan w:val="2"/>
            <w:vAlign w:val="center"/>
          </w:tcPr>
          <w:p w14:paraId="1BE1B2AD">
            <w:pPr>
              <w:spacing w:line="300" w:lineRule="exact"/>
              <w:jc w:val="center"/>
              <w:rPr>
                <w:rFonts w:ascii="宋体" w:hAnsi="宋体"/>
                <w:szCs w:val="21"/>
              </w:rPr>
            </w:pPr>
            <w:r>
              <w:rPr>
                <w:rFonts w:hint="eastAsia" w:ascii="宋体" w:hAnsi="宋体"/>
                <w:szCs w:val="21"/>
              </w:rPr>
              <w:t>质保期</w:t>
            </w:r>
          </w:p>
        </w:tc>
        <w:tc>
          <w:tcPr>
            <w:tcW w:w="4913" w:type="dxa"/>
            <w:vAlign w:val="center"/>
          </w:tcPr>
          <w:p w14:paraId="47085CE4">
            <w:pPr>
              <w:spacing w:line="300" w:lineRule="exact"/>
              <w:rPr>
                <w:rFonts w:ascii="宋体" w:hAnsi="宋体"/>
                <w:szCs w:val="21"/>
              </w:rPr>
            </w:pPr>
            <w:r>
              <w:rPr>
                <w:rFonts w:hint="eastAsia" w:ascii="宋体" w:hAnsi="宋体"/>
                <w:szCs w:val="21"/>
              </w:rPr>
              <w:t>符合第二章“投标人须知前附表”第</w:t>
            </w:r>
            <w:r>
              <w:rPr>
                <w:rFonts w:ascii="宋体" w:hAnsi="宋体"/>
                <w:szCs w:val="21"/>
              </w:rPr>
              <w:t>11</w:t>
            </w:r>
            <w:r>
              <w:rPr>
                <w:rFonts w:hint="eastAsia" w:ascii="宋体" w:hAnsi="宋体"/>
                <w:szCs w:val="21"/>
              </w:rPr>
              <w:t>项规定</w:t>
            </w:r>
          </w:p>
        </w:tc>
      </w:tr>
      <w:tr w14:paraId="143B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207" w:type="dxa"/>
            <w:gridSpan w:val="4"/>
            <w:vAlign w:val="center"/>
          </w:tcPr>
          <w:p w14:paraId="76C13703">
            <w:pPr>
              <w:spacing w:line="300" w:lineRule="exact"/>
              <w:jc w:val="center"/>
              <w:rPr>
                <w:rFonts w:ascii="宋体" w:hAnsi="宋体"/>
                <w:b/>
                <w:szCs w:val="21"/>
              </w:rPr>
            </w:pPr>
            <w:r>
              <w:rPr>
                <w:rFonts w:hint="eastAsia" w:ascii="宋体" w:hAnsi="宋体"/>
                <w:b/>
                <w:szCs w:val="21"/>
              </w:rPr>
              <w:t>条款号</w:t>
            </w:r>
          </w:p>
        </w:tc>
        <w:tc>
          <w:tcPr>
            <w:tcW w:w="2786" w:type="dxa"/>
            <w:gridSpan w:val="2"/>
            <w:vAlign w:val="center"/>
          </w:tcPr>
          <w:p w14:paraId="625CE823">
            <w:pPr>
              <w:spacing w:line="300" w:lineRule="exact"/>
              <w:jc w:val="center"/>
              <w:rPr>
                <w:rFonts w:ascii="宋体" w:hAnsi="宋体"/>
                <w:b/>
                <w:szCs w:val="21"/>
              </w:rPr>
            </w:pPr>
            <w:r>
              <w:rPr>
                <w:rFonts w:hint="eastAsia" w:ascii="宋体" w:hAnsi="宋体"/>
                <w:b/>
                <w:szCs w:val="21"/>
              </w:rPr>
              <w:t>条款内容</w:t>
            </w:r>
          </w:p>
        </w:tc>
        <w:tc>
          <w:tcPr>
            <w:tcW w:w="4913" w:type="dxa"/>
            <w:vAlign w:val="center"/>
          </w:tcPr>
          <w:p w14:paraId="5D45B4F5">
            <w:pPr>
              <w:spacing w:line="300" w:lineRule="exact"/>
              <w:jc w:val="center"/>
              <w:rPr>
                <w:rFonts w:ascii="宋体" w:hAnsi="宋体"/>
                <w:b/>
                <w:szCs w:val="21"/>
              </w:rPr>
            </w:pPr>
            <w:r>
              <w:rPr>
                <w:rFonts w:hint="eastAsia" w:ascii="宋体" w:hAnsi="宋体"/>
                <w:b/>
                <w:szCs w:val="21"/>
              </w:rPr>
              <w:t>编列内容</w:t>
            </w:r>
          </w:p>
        </w:tc>
      </w:tr>
      <w:tr w14:paraId="3B67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207" w:type="dxa"/>
            <w:gridSpan w:val="4"/>
            <w:vAlign w:val="center"/>
          </w:tcPr>
          <w:p w14:paraId="3CC4D86A">
            <w:pPr>
              <w:spacing w:line="300" w:lineRule="exact"/>
              <w:jc w:val="center"/>
              <w:rPr>
                <w:rFonts w:ascii="宋体" w:hAnsi="宋体"/>
                <w:b/>
                <w:szCs w:val="21"/>
              </w:rPr>
            </w:pPr>
            <w:r>
              <w:rPr>
                <w:rFonts w:hint="eastAsia" w:ascii="宋体" w:hAnsi="宋体"/>
                <w:b/>
                <w:szCs w:val="21"/>
              </w:rPr>
              <w:t>条款号</w:t>
            </w:r>
          </w:p>
        </w:tc>
        <w:tc>
          <w:tcPr>
            <w:tcW w:w="2786" w:type="dxa"/>
            <w:gridSpan w:val="2"/>
            <w:vAlign w:val="center"/>
          </w:tcPr>
          <w:p w14:paraId="36FE79F4">
            <w:pPr>
              <w:spacing w:line="300" w:lineRule="exact"/>
              <w:jc w:val="center"/>
              <w:rPr>
                <w:rFonts w:ascii="宋体" w:hAnsi="宋体"/>
                <w:b/>
                <w:szCs w:val="21"/>
              </w:rPr>
            </w:pPr>
            <w:r>
              <w:rPr>
                <w:rFonts w:hint="eastAsia" w:ascii="宋体" w:hAnsi="宋体"/>
                <w:b/>
                <w:szCs w:val="21"/>
              </w:rPr>
              <w:t>评分因素</w:t>
            </w:r>
          </w:p>
        </w:tc>
        <w:tc>
          <w:tcPr>
            <w:tcW w:w="4913" w:type="dxa"/>
            <w:vAlign w:val="center"/>
          </w:tcPr>
          <w:p w14:paraId="043FF5E6">
            <w:pPr>
              <w:spacing w:line="300" w:lineRule="exact"/>
              <w:jc w:val="center"/>
              <w:rPr>
                <w:rFonts w:ascii="宋体" w:hAnsi="宋体"/>
                <w:b/>
                <w:szCs w:val="21"/>
              </w:rPr>
            </w:pPr>
            <w:r>
              <w:rPr>
                <w:rFonts w:hint="eastAsia" w:ascii="宋体" w:hAnsi="宋体"/>
                <w:b/>
                <w:szCs w:val="21"/>
              </w:rPr>
              <w:t>评分标准</w:t>
            </w:r>
          </w:p>
        </w:tc>
      </w:tr>
      <w:tr w14:paraId="5D7D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43" w:type="dxa"/>
            <w:vAlign w:val="center"/>
          </w:tcPr>
          <w:p w14:paraId="0F67B6F5">
            <w:pPr>
              <w:spacing w:line="300" w:lineRule="exact"/>
              <w:jc w:val="center"/>
              <w:rPr>
                <w:rFonts w:hint="eastAsia" w:ascii="宋体" w:hAnsi="宋体" w:cs="宋体"/>
                <w:b/>
                <w:sz w:val="24"/>
              </w:rPr>
            </w:pPr>
            <w:bookmarkStart w:id="198" w:name="_Toc358873695"/>
            <w:bookmarkStart w:id="199" w:name="_Toc152042377"/>
            <w:bookmarkStart w:id="200" w:name="_Toc144974567"/>
            <w:bookmarkStart w:id="201" w:name="_Toc179632618"/>
            <w:bookmarkStart w:id="202" w:name="_Toc152045600"/>
            <w:r>
              <w:rPr>
                <w:rFonts w:hint="eastAsia" w:ascii="宋体" w:hAnsi="宋体"/>
                <w:szCs w:val="21"/>
              </w:rPr>
              <w:t>分值构成</w:t>
            </w:r>
          </w:p>
        </w:tc>
        <w:tc>
          <w:tcPr>
            <w:tcW w:w="1091" w:type="dxa"/>
            <w:gridSpan w:val="2"/>
            <w:vAlign w:val="center"/>
          </w:tcPr>
          <w:p w14:paraId="6A84DB1E">
            <w:pPr>
              <w:spacing w:line="360" w:lineRule="auto"/>
              <w:jc w:val="center"/>
              <w:rPr>
                <w:rFonts w:ascii="宋体" w:hAnsi="宋体" w:cs="宋体"/>
                <w:b/>
                <w:bCs/>
                <w:sz w:val="24"/>
              </w:rPr>
            </w:pPr>
            <w:r>
              <w:rPr>
                <w:rFonts w:hint="eastAsia" w:ascii="宋体" w:hAnsi="宋体" w:cs="宋体"/>
                <w:b/>
                <w:bCs/>
                <w:sz w:val="24"/>
              </w:rPr>
              <w:t>100</w:t>
            </w:r>
          </w:p>
        </w:tc>
        <w:tc>
          <w:tcPr>
            <w:tcW w:w="7972" w:type="dxa"/>
            <w:gridSpan w:val="4"/>
            <w:vAlign w:val="center"/>
          </w:tcPr>
          <w:p w14:paraId="66C0E132">
            <w:pPr>
              <w:spacing w:line="276" w:lineRule="auto"/>
              <w:jc w:val="both"/>
              <w:rPr>
                <w:rFonts w:ascii="宋体" w:hAnsi="宋体"/>
                <w:sz w:val="22"/>
              </w:rPr>
            </w:pPr>
            <w:r>
              <w:rPr>
                <w:rFonts w:hint="eastAsia" w:ascii="宋体" w:hAnsi="宋体"/>
                <w:sz w:val="22"/>
                <w:lang w:val="en-US" w:eastAsia="zh-CN"/>
              </w:rPr>
              <w:t>商务部分</w:t>
            </w:r>
            <w:r>
              <w:rPr>
                <w:rFonts w:hint="eastAsia" w:ascii="宋体" w:hAnsi="宋体"/>
                <w:sz w:val="22"/>
              </w:rPr>
              <w:t>：</w:t>
            </w:r>
            <w:r>
              <w:rPr>
                <w:rFonts w:hint="eastAsia" w:ascii="宋体" w:hAnsi="宋体"/>
                <w:sz w:val="22"/>
                <w:lang w:val="en-US" w:eastAsia="zh-CN"/>
              </w:rPr>
              <w:t>3</w:t>
            </w:r>
            <w:r>
              <w:rPr>
                <w:rFonts w:hint="eastAsia" w:ascii="宋体" w:hAnsi="宋体"/>
                <w:sz w:val="22"/>
              </w:rPr>
              <w:t>0分</w:t>
            </w:r>
          </w:p>
          <w:p w14:paraId="65591F15">
            <w:pPr>
              <w:spacing w:line="276" w:lineRule="auto"/>
              <w:jc w:val="both"/>
              <w:rPr>
                <w:rFonts w:hint="eastAsia" w:ascii="宋体" w:hAnsi="宋体"/>
                <w:sz w:val="22"/>
              </w:rPr>
            </w:pPr>
            <w:r>
              <w:rPr>
                <w:rFonts w:hint="eastAsia" w:ascii="宋体" w:hAnsi="宋体"/>
                <w:sz w:val="22"/>
              </w:rPr>
              <w:t>技术部分：</w:t>
            </w:r>
            <w:r>
              <w:rPr>
                <w:rFonts w:hint="eastAsia" w:ascii="宋体" w:hAnsi="宋体"/>
                <w:sz w:val="22"/>
                <w:lang w:val="en-US" w:eastAsia="zh-CN"/>
              </w:rPr>
              <w:t>60分</w:t>
            </w:r>
          </w:p>
          <w:p w14:paraId="3F4E1176">
            <w:pPr>
              <w:pStyle w:val="19"/>
              <w:ind w:left="0" w:leftChars="0" w:firstLine="0" w:firstLineChars="0"/>
              <w:rPr>
                <w:rFonts w:hint="default" w:eastAsia="宋体"/>
                <w:lang w:val="en-US" w:eastAsia="zh-CN"/>
              </w:rPr>
            </w:pPr>
            <w:r>
              <w:rPr>
                <w:rFonts w:hint="eastAsia" w:ascii="宋体" w:hAnsi="宋体"/>
                <w:sz w:val="22"/>
                <w:lang w:val="en-US" w:eastAsia="zh-CN"/>
              </w:rPr>
              <w:t>综合部分：10分</w:t>
            </w:r>
          </w:p>
        </w:tc>
      </w:tr>
      <w:tr w14:paraId="2AD4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906" w:type="dxa"/>
            <w:gridSpan w:val="7"/>
            <w:vAlign w:val="center"/>
          </w:tcPr>
          <w:p w14:paraId="38BD859E">
            <w:pPr>
              <w:spacing w:line="360" w:lineRule="auto"/>
              <w:jc w:val="center"/>
              <w:rPr>
                <w:rFonts w:hint="eastAsia" w:ascii="宋体" w:hAnsi="宋体" w:eastAsia="宋体"/>
                <w:sz w:val="22"/>
                <w:lang w:val="en-US" w:eastAsia="zh-CN"/>
              </w:rPr>
            </w:pPr>
            <w:r>
              <w:rPr>
                <w:rFonts w:hint="eastAsia" w:ascii="宋体" w:hAnsi="宋体"/>
                <w:b/>
                <w:bCs/>
                <w:sz w:val="22"/>
                <w:lang w:val="en-US" w:eastAsia="zh-CN"/>
              </w:rPr>
              <w:t>商务部分（30分）</w:t>
            </w:r>
          </w:p>
        </w:tc>
      </w:tr>
      <w:tr w14:paraId="68A3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843" w:type="dxa"/>
            <w:vAlign w:val="center"/>
          </w:tcPr>
          <w:p w14:paraId="4C9557C4">
            <w:pPr>
              <w:spacing w:line="276" w:lineRule="auto"/>
              <w:jc w:val="center"/>
              <w:rPr>
                <w:rFonts w:hint="eastAsia" w:ascii="宋体" w:hAnsi="宋体" w:cs="宋体"/>
                <w:b/>
                <w:sz w:val="24"/>
              </w:rPr>
            </w:pPr>
            <w:r>
              <w:rPr>
                <w:rFonts w:hint="eastAsia" w:ascii="宋体" w:hAnsi="宋体" w:cs="宋体"/>
                <w:b/>
                <w:sz w:val="24"/>
              </w:rPr>
              <w:t>价格</w:t>
            </w:r>
          </w:p>
          <w:p w14:paraId="1BC771E3">
            <w:pPr>
              <w:spacing w:line="276" w:lineRule="auto"/>
              <w:jc w:val="center"/>
              <w:rPr>
                <w:rFonts w:hint="eastAsia" w:ascii="宋体" w:hAnsi="宋体" w:cs="宋体"/>
                <w:b/>
                <w:bCs/>
                <w:sz w:val="24"/>
              </w:rPr>
            </w:pPr>
            <w:r>
              <w:rPr>
                <w:rFonts w:hint="eastAsia" w:ascii="宋体" w:hAnsi="宋体" w:cs="宋体"/>
                <w:b/>
                <w:sz w:val="24"/>
              </w:rPr>
              <w:t>评审</w:t>
            </w:r>
          </w:p>
        </w:tc>
        <w:tc>
          <w:tcPr>
            <w:tcW w:w="1091" w:type="dxa"/>
            <w:gridSpan w:val="2"/>
            <w:vAlign w:val="center"/>
          </w:tcPr>
          <w:p w14:paraId="3ADCD216">
            <w:pPr>
              <w:spacing w:line="360" w:lineRule="auto"/>
              <w:jc w:val="center"/>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0分</w:t>
            </w:r>
          </w:p>
        </w:tc>
        <w:tc>
          <w:tcPr>
            <w:tcW w:w="7972" w:type="dxa"/>
            <w:gridSpan w:val="4"/>
            <w:vAlign w:val="center"/>
          </w:tcPr>
          <w:p w14:paraId="4B03CEB3">
            <w:pPr>
              <w:widowControl/>
              <w:spacing w:line="276" w:lineRule="auto"/>
              <w:jc w:val="left"/>
              <w:rPr>
                <w:rFonts w:ascii="Calibri" w:hAnsi="Calibri"/>
                <w:szCs w:val="22"/>
              </w:rPr>
            </w:pPr>
            <w:r>
              <w:rPr>
                <w:rFonts w:hint="eastAsia" w:ascii="Calibri" w:hAnsi="Calibri"/>
                <w:szCs w:val="22"/>
              </w:rPr>
              <w:t>综合评分法中的价格分统一采用低价优先法计算，即满足文件要求且报价最低的投标人的价格为基准价，其价格分为满分。其他投标人的价格分统一按照下列公式计算：</w:t>
            </w:r>
          </w:p>
          <w:p w14:paraId="19F91640">
            <w:pPr>
              <w:spacing w:line="276" w:lineRule="auto"/>
              <w:ind w:right="-2"/>
              <w:jc w:val="left"/>
              <w:rPr>
                <w:rFonts w:ascii="宋体" w:hAnsi="宋体" w:cs="宋体"/>
                <w:b/>
                <w:szCs w:val="21"/>
              </w:rPr>
            </w:pPr>
            <w:r>
              <w:rPr>
                <w:rFonts w:hint="eastAsia" w:ascii="宋体" w:hAnsi="宋体" w:cs="宋体"/>
                <w:b/>
                <w:szCs w:val="21"/>
              </w:rPr>
              <w:t>投标报价得分=(基准价/投标报价)×30%×100</w:t>
            </w:r>
          </w:p>
          <w:p w14:paraId="13EFEE66">
            <w:pPr>
              <w:widowControl/>
              <w:spacing w:line="276" w:lineRule="auto"/>
              <w:jc w:val="left"/>
              <w:rPr>
                <w:rFonts w:ascii="Calibri" w:hAnsi="Calibri"/>
                <w:szCs w:val="22"/>
              </w:rPr>
            </w:pPr>
            <w:r>
              <w:rPr>
                <w:rFonts w:hint="eastAsia" w:ascii="Calibri" w:hAnsi="Calibri"/>
                <w:szCs w:val="22"/>
              </w:rPr>
              <w:t>注：1、项目评审过程中，不得去掉最后报价中的最高报价和最低报价。</w:t>
            </w:r>
          </w:p>
          <w:p w14:paraId="3FDEE9C5">
            <w:pPr>
              <w:widowControl/>
              <w:spacing w:line="276" w:lineRule="auto"/>
              <w:jc w:val="left"/>
              <w:rPr>
                <w:rFonts w:ascii="Calibri" w:hAnsi="Calibri"/>
                <w:szCs w:val="22"/>
              </w:rPr>
            </w:pPr>
            <w:r>
              <w:rPr>
                <w:rFonts w:ascii="Calibri" w:hAnsi="Calibri"/>
                <w:szCs w:val="22"/>
              </w:rPr>
              <w:t>2</w:t>
            </w:r>
            <w:r>
              <w:rPr>
                <w:rFonts w:hint="eastAsia" w:ascii="Calibri" w:hAnsi="Calibri"/>
                <w:szCs w:val="22"/>
              </w:rPr>
              <w:t>、投标人应充分考虑各种因素，投标报价是评标综合打分的依据之一，但不是唯一依据。</w:t>
            </w:r>
          </w:p>
          <w:p w14:paraId="334A2751">
            <w:pPr>
              <w:widowControl/>
              <w:jc w:val="left"/>
              <w:rPr>
                <w:rFonts w:hint="eastAsia" w:ascii="Calibri" w:hAnsi="Calibri"/>
                <w:color w:val="auto"/>
                <w:szCs w:val="22"/>
              </w:rPr>
            </w:pPr>
            <w:r>
              <w:rPr>
                <w:rFonts w:hint="eastAsia" w:ascii="Calibri" w:hAnsi="Calibri"/>
                <w:szCs w:val="22"/>
              </w:rPr>
              <w:t>3、评标委员会发现投标人的报价明显低于其他投标报价，或者在设有标底时明显低于标底，使得其投标报价可能低于其个别成本的，应当要求该投标人作出书面说明并</w:t>
            </w:r>
            <w:r>
              <w:rPr>
                <w:rFonts w:hint="eastAsia" w:ascii="Calibri" w:hAnsi="Calibri"/>
                <w:color w:val="auto"/>
                <w:szCs w:val="22"/>
              </w:rPr>
              <w:t>提供相应的证明材料。投标人不能合理说明或者不能提供相应证明材料的，由评标委员会认定该投标人以低于成本报价竞标，否决其投标。</w:t>
            </w:r>
          </w:p>
          <w:p w14:paraId="45D13DC0">
            <w:pPr>
              <w:widowControl/>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价格评审优惠政策</w:t>
            </w:r>
            <w:r>
              <w:rPr>
                <w:rFonts w:hint="eastAsia" w:ascii="宋体" w:hAnsi="宋体" w:eastAsia="宋体" w:cs="宋体"/>
                <w:color w:val="auto"/>
                <w:sz w:val="21"/>
                <w:szCs w:val="21"/>
              </w:rPr>
              <w:t>：</w:t>
            </w:r>
          </w:p>
          <w:p w14:paraId="143BEE88">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1、根据政府采购相关政策，给予小型、微型企业产品价格</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%的扣除，用扣除后的价格参与评审，参与评审的小型（微型）企业产品投标报价=小型（微型）企业报价×（1-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0%）。 </w:t>
            </w:r>
          </w:p>
          <w:p w14:paraId="17705E89">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2、残疾人福利性单位视同小型、微型企业，价格给予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 xml:space="preserve">%的扣除，用扣除后的价格参与评审。 </w:t>
            </w:r>
          </w:p>
          <w:p w14:paraId="00136B27">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3、在政府采购活动中，监狱企业视同小型、微型企业，价格给予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 xml:space="preserve">%的扣除，用扣除后的价格参与评审。 </w:t>
            </w:r>
          </w:p>
          <w:p w14:paraId="6A3511A7">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注：（1）投标人若为小型或微型企业，须自行提供中小企业声明函（见投标文件格式部分），并对其真实性负责； </w:t>
            </w:r>
          </w:p>
          <w:p w14:paraId="7A033520">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（2）投标人若为残疾人福利性单位，须按规定提供《残疾人福利性单位声明函》（见投标文件格式部分），并对其真实性负责； </w:t>
            </w:r>
          </w:p>
          <w:p w14:paraId="3A96F0B9">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（3）投标人若为监狱企业参加政府采购活动，应当提供由省级以上监狱管理局、戒毒管理局(含新疆生产建设兵团)出具的属于监狱企业的证明文件。 </w:t>
            </w:r>
          </w:p>
          <w:p w14:paraId="14AB4A9A">
            <w:pPr>
              <w:widowControl/>
              <w:spacing w:line="276" w:lineRule="auto"/>
              <w:jc w:val="left"/>
              <w:rPr>
                <w:rFonts w:hint="eastAsia" w:ascii="宋体" w:hAnsi="宋体" w:cs="宋体"/>
                <w:sz w:val="24"/>
              </w:rPr>
            </w:pPr>
            <w:r>
              <w:rPr>
                <w:rFonts w:hint="eastAsia" w:ascii="宋体" w:hAnsi="宋体" w:eastAsia="宋体" w:cs="宋体"/>
                <w:color w:val="auto"/>
                <w:sz w:val="21"/>
                <w:szCs w:val="21"/>
              </w:rPr>
              <w:t>(4) 投标人为小型、微型企业的，同时又为残疾人福利性单位或监狱企业的，不重复享受政策。</w:t>
            </w:r>
          </w:p>
        </w:tc>
      </w:tr>
      <w:tr w14:paraId="1FAA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843" w:type="dxa"/>
            <w:vMerge w:val="restart"/>
            <w:vAlign w:val="center"/>
          </w:tcPr>
          <w:p w14:paraId="7DC6318F">
            <w:pPr>
              <w:spacing w:before="0" w:after="0" w:line="360" w:lineRule="auto"/>
              <w:jc w:val="center"/>
              <w:rPr>
                <w:rFonts w:hint="default" w:ascii="宋体" w:hAnsi="宋体" w:cs="宋体"/>
                <w:b/>
                <w:bCs/>
                <w:sz w:val="24"/>
                <w:lang w:val="en-US" w:eastAsia="zh-CN"/>
              </w:rPr>
            </w:pPr>
            <w:r>
              <w:rPr>
                <w:rFonts w:hint="eastAsia" w:ascii="宋体" w:hAnsi="宋体" w:cs="宋体"/>
                <w:b/>
                <w:bCs/>
                <w:sz w:val="24"/>
                <w:lang w:val="en-US" w:eastAsia="zh-CN"/>
              </w:rPr>
              <w:t>技术</w:t>
            </w:r>
          </w:p>
          <w:p w14:paraId="53EDCF72">
            <w:pPr>
              <w:spacing w:before="0" w:after="0" w:line="360" w:lineRule="auto"/>
              <w:jc w:val="center"/>
              <w:rPr>
                <w:rFonts w:hint="eastAsia" w:ascii="宋体" w:hAnsi="宋体" w:cs="宋体"/>
                <w:b/>
                <w:bCs/>
                <w:sz w:val="24"/>
                <w:lang w:val="en-US" w:eastAsia="zh-CN"/>
              </w:rPr>
            </w:pPr>
            <w:r>
              <w:rPr>
                <w:rFonts w:hint="eastAsia" w:ascii="宋体" w:hAnsi="宋体" w:cs="宋体"/>
                <w:b/>
                <w:bCs/>
                <w:sz w:val="24"/>
                <w:lang w:val="en-US" w:eastAsia="zh-CN"/>
              </w:rPr>
              <w:t>部分</w:t>
            </w:r>
          </w:p>
        </w:tc>
        <w:tc>
          <w:tcPr>
            <w:tcW w:w="1091" w:type="dxa"/>
            <w:gridSpan w:val="2"/>
            <w:vMerge w:val="restart"/>
            <w:vAlign w:val="center"/>
          </w:tcPr>
          <w:p w14:paraId="192B1111">
            <w:pPr>
              <w:spacing w:before="0" w:after="0" w:line="360" w:lineRule="auto"/>
              <w:jc w:val="center"/>
              <w:rPr>
                <w:rFonts w:hint="eastAsia" w:ascii="宋体" w:hAnsi="宋体" w:cs="宋体"/>
                <w:b/>
                <w:bCs/>
                <w:sz w:val="24"/>
                <w:lang w:val="en-US" w:eastAsia="zh-CN"/>
              </w:rPr>
            </w:pPr>
            <w:r>
              <w:rPr>
                <w:rFonts w:hint="eastAsia" w:ascii="宋体" w:hAnsi="宋体" w:cs="宋体"/>
                <w:b/>
                <w:bCs/>
                <w:sz w:val="24"/>
                <w:lang w:val="en-US" w:eastAsia="zh-CN"/>
              </w:rPr>
              <w:t>（60分）</w:t>
            </w:r>
          </w:p>
        </w:tc>
        <w:tc>
          <w:tcPr>
            <w:tcW w:w="1230" w:type="dxa"/>
            <w:gridSpan w:val="2"/>
            <w:vAlign w:val="center"/>
          </w:tcPr>
          <w:p w14:paraId="09132B2F">
            <w:pPr>
              <w:spacing w:before="0" w:after="0" w:line="360" w:lineRule="auto"/>
              <w:jc w:val="center"/>
              <w:rPr>
                <w:rFonts w:hint="eastAsia" w:ascii="宋体" w:hAnsi="宋体" w:cs="宋体"/>
                <w:spacing w:val="4"/>
                <w:sz w:val="24"/>
              </w:rPr>
            </w:pPr>
            <w:r>
              <w:rPr>
                <w:rFonts w:hint="eastAsia" w:ascii="宋体" w:hAnsi="宋体" w:eastAsia="宋体"/>
                <w:sz w:val="21"/>
                <w:szCs w:val="21"/>
                <w:lang w:eastAsia="zh-CN"/>
              </w:rPr>
              <w:t>技术参数（</w:t>
            </w:r>
            <w:r>
              <w:rPr>
                <w:rFonts w:hint="eastAsia" w:ascii="宋体" w:hAnsi="宋体"/>
                <w:sz w:val="21"/>
                <w:szCs w:val="21"/>
                <w:lang w:val="en-US" w:eastAsia="zh-CN"/>
              </w:rPr>
              <w:t>10</w:t>
            </w:r>
            <w:r>
              <w:rPr>
                <w:rFonts w:hint="eastAsia" w:ascii="宋体" w:hAnsi="宋体" w:eastAsia="宋体"/>
                <w:sz w:val="21"/>
                <w:szCs w:val="21"/>
                <w:lang w:eastAsia="zh-CN"/>
              </w:rPr>
              <w:t xml:space="preserve"> 分）</w:t>
            </w:r>
          </w:p>
        </w:tc>
        <w:tc>
          <w:tcPr>
            <w:tcW w:w="6742" w:type="dxa"/>
            <w:gridSpan w:val="2"/>
            <w:vAlign w:val="center"/>
          </w:tcPr>
          <w:p w14:paraId="2FCC9A1F">
            <w:pPr>
              <w:spacing w:before="0" w:after="0" w:line="360" w:lineRule="auto"/>
              <w:jc w:val="left"/>
              <w:rPr>
                <w:rFonts w:hint="eastAsia" w:ascii="宋体" w:hAnsi="宋体" w:cs="宋体"/>
                <w:sz w:val="24"/>
              </w:rPr>
            </w:pPr>
            <w:r>
              <w:rPr>
                <w:rFonts w:hint="eastAsia" w:ascii="宋体" w:hAnsi="宋体" w:eastAsia="宋体"/>
                <w:sz w:val="21"/>
                <w:szCs w:val="21"/>
                <w:lang w:eastAsia="zh-CN"/>
              </w:rPr>
              <w:t xml:space="preserve">评审专家根据招标文件采购需求中技术参数要求及投标文件中《技术参数偏离情况表》响应的条款进行打分评审，所有条款均符合招标文件参数与要求，得基本分 </w:t>
            </w:r>
            <w:r>
              <w:rPr>
                <w:rFonts w:hint="eastAsia" w:ascii="宋体" w:hAnsi="宋体"/>
                <w:sz w:val="21"/>
                <w:szCs w:val="21"/>
                <w:lang w:val="en-US" w:eastAsia="zh-CN"/>
              </w:rPr>
              <w:t>10</w:t>
            </w:r>
            <w:r>
              <w:rPr>
                <w:rFonts w:hint="eastAsia" w:ascii="宋体" w:hAnsi="宋体" w:eastAsia="宋体"/>
                <w:sz w:val="21"/>
                <w:szCs w:val="21"/>
                <w:lang w:eastAsia="zh-CN"/>
              </w:rPr>
              <w:t xml:space="preserve"> 分；如果投标文件中参数部分存在负偏离的，每条负偏差扣除2分，</w:t>
            </w:r>
            <w:r>
              <w:rPr>
                <w:rFonts w:hint="eastAsia" w:ascii="宋体" w:hAnsi="宋体"/>
                <w:sz w:val="21"/>
                <w:szCs w:val="21"/>
                <w:lang w:val="en-US" w:eastAsia="zh-CN"/>
              </w:rPr>
              <w:t>10</w:t>
            </w:r>
            <w:r>
              <w:rPr>
                <w:rFonts w:hint="eastAsia" w:ascii="宋体" w:hAnsi="宋体" w:eastAsia="宋体"/>
                <w:sz w:val="21"/>
                <w:szCs w:val="21"/>
                <w:lang w:eastAsia="zh-CN"/>
              </w:rPr>
              <w:t>分扣完为止。</w:t>
            </w:r>
          </w:p>
        </w:tc>
      </w:tr>
      <w:tr w14:paraId="4196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Merge w:val="continue"/>
            <w:vAlign w:val="center"/>
          </w:tcPr>
          <w:p w14:paraId="070D21D1">
            <w:pPr>
              <w:spacing w:before="0" w:after="0" w:line="360" w:lineRule="auto"/>
              <w:jc w:val="center"/>
              <w:rPr>
                <w:rFonts w:hint="eastAsia" w:ascii="宋体" w:hAnsi="宋体" w:cs="宋体"/>
                <w:b/>
                <w:sz w:val="24"/>
              </w:rPr>
            </w:pPr>
          </w:p>
        </w:tc>
        <w:tc>
          <w:tcPr>
            <w:tcW w:w="1091" w:type="dxa"/>
            <w:gridSpan w:val="2"/>
            <w:vMerge w:val="continue"/>
            <w:vAlign w:val="center"/>
          </w:tcPr>
          <w:p w14:paraId="2606BEC5">
            <w:pPr>
              <w:spacing w:before="0" w:after="0" w:line="360" w:lineRule="auto"/>
              <w:jc w:val="center"/>
              <w:rPr>
                <w:rFonts w:hint="eastAsia" w:ascii="宋体" w:hAnsi="宋体" w:cs="宋体"/>
                <w:b/>
                <w:sz w:val="24"/>
              </w:rPr>
            </w:pPr>
          </w:p>
        </w:tc>
        <w:tc>
          <w:tcPr>
            <w:tcW w:w="1230" w:type="dxa"/>
            <w:gridSpan w:val="2"/>
            <w:vAlign w:val="center"/>
          </w:tcPr>
          <w:p w14:paraId="76C32B24">
            <w:pPr>
              <w:spacing w:before="0" w:after="0" w:line="360" w:lineRule="auto"/>
              <w:jc w:val="left"/>
              <w:rPr>
                <w:rFonts w:hint="eastAsia" w:ascii="宋体" w:hAnsi="宋体" w:cs="宋体"/>
                <w:spacing w:val="4"/>
                <w:sz w:val="24"/>
              </w:rPr>
            </w:pPr>
            <w:r>
              <w:rPr>
                <w:rFonts w:hint="eastAsia" w:ascii="宋体" w:hAnsi="宋体" w:eastAsia="宋体" w:cs="宋体"/>
                <w:sz w:val="21"/>
                <w:szCs w:val="21"/>
              </w:rPr>
              <w:t>项目</w:t>
            </w:r>
            <w:r>
              <w:rPr>
                <w:rFonts w:hint="eastAsia" w:ascii="宋体" w:hAnsi="宋体" w:eastAsia="宋体" w:cs="宋体"/>
                <w:sz w:val="21"/>
                <w:szCs w:val="21"/>
                <w:lang w:val="en-US" w:eastAsia="zh-CN"/>
              </w:rPr>
              <w:t>技术</w:t>
            </w:r>
            <w:r>
              <w:rPr>
                <w:rFonts w:hint="eastAsia" w:ascii="宋体" w:hAnsi="宋体" w:eastAsia="宋体" w:cs="宋体"/>
                <w:sz w:val="21"/>
                <w:szCs w:val="21"/>
              </w:rPr>
              <w:t>服务方案(</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6742" w:type="dxa"/>
            <w:gridSpan w:val="2"/>
            <w:vAlign w:val="center"/>
          </w:tcPr>
          <w:p w14:paraId="51000183">
            <w:pPr>
              <w:spacing w:before="0" w:after="0" w:line="360" w:lineRule="auto"/>
              <w:jc w:val="left"/>
              <w:rPr>
                <w:rFonts w:ascii="宋体" w:hAnsi="宋体" w:eastAsia="宋体"/>
                <w:sz w:val="21"/>
                <w:szCs w:val="21"/>
                <w:lang w:eastAsia="zh-CN"/>
              </w:rPr>
            </w:pPr>
            <w:r>
              <w:rPr>
                <w:rFonts w:hint="eastAsia" w:ascii="宋体" w:hAnsi="宋体" w:eastAsia="宋体"/>
                <w:sz w:val="21"/>
                <w:szCs w:val="21"/>
                <w:lang w:eastAsia="zh-CN"/>
              </w:rPr>
              <w:t>对供应商实施方案编制的合理可行性，不可预见因素的预测，实施步骤，对项目整体理解准确、对用户需求理解到位、系统、安全、经济、可操作性强等情况进行评价：</w:t>
            </w:r>
          </w:p>
          <w:p w14:paraId="71013BC7">
            <w:pPr>
              <w:spacing w:line="38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1.方案</w:t>
            </w:r>
            <w:r>
              <w:rPr>
                <w:rFonts w:hint="eastAsia" w:ascii="宋体" w:hAnsi="宋体" w:eastAsia="宋体" w:cs="宋体"/>
                <w:sz w:val="21"/>
                <w:szCs w:val="21"/>
              </w:rPr>
              <w:t>满足服务要求、细节考虑到位、且能考虑到用户的实际使用情况，计划安排充分适当可行，内容完整，描述清晰，且能针对项目需求</w:t>
            </w:r>
            <w:r>
              <w:rPr>
                <w:rFonts w:hint="eastAsia" w:ascii="宋体" w:hAnsi="宋体"/>
                <w:sz w:val="21"/>
                <w:szCs w:val="21"/>
                <w:lang w:val="en-US" w:eastAsia="zh-CN"/>
              </w:rPr>
              <w:t>的得分10分</w:t>
            </w:r>
            <w:r>
              <w:rPr>
                <w:rFonts w:hint="eastAsia" w:ascii="宋体" w:hAnsi="宋体" w:eastAsia="宋体" w:cs="宋体"/>
                <w:sz w:val="21"/>
                <w:szCs w:val="21"/>
              </w:rPr>
              <w:t>；</w:t>
            </w:r>
          </w:p>
          <w:p w14:paraId="5D9E505B">
            <w:pPr>
              <w:spacing w:line="38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2.方案</w:t>
            </w:r>
            <w:r>
              <w:rPr>
                <w:rFonts w:hint="eastAsia" w:ascii="宋体" w:hAnsi="宋体" w:eastAsia="宋体" w:cs="宋体"/>
                <w:sz w:val="21"/>
                <w:szCs w:val="21"/>
              </w:rPr>
              <w:t>基本满足服务要求、细节考虑到位，计划安排适当，内容较完整、描述较清晰</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sz w:val="21"/>
                <w:szCs w:val="21"/>
                <w:lang w:val="en-US" w:eastAsia="zh-CN"/>
              </w:rPr>
              <w:t>7分</w:t>
            </w:r>
            <w:r>
              <w:rPr>
                <w:rFonts w:hint="eastAsia" w:ascii="宋体" w:hAnsi="宋体" w:eastAsia="宋体" w:cs="宋体"/>
                <w:sz w:val="21"/>
                <w:szCs w:val="21"/>
              </w:rPr>
              <w:t>；</w:t>
            </w:r>
          </w:p>
          <w:p w14:paraId="54F30902">
            <w:pPr>
              <w:spacing w:line="38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3.方案</w:t>
            </w:r>
            <w:r>
              <w:rPr>
                <w:rFonts w:hint="eastAsia" w:ascii="宋体" w:hAnsi="宋体" w:eastAsia="宋体" w:cs="宋体"/>
                <w:sz w:val="21"/>
                <w:szCs w:val="21"/>
              </w:rPr>
              <w:t>基本满足服务要求，有计划安排,内容片面、描述不清晰</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4</w:t>
            </w:r>
            <w:r>
              <w:rPr>
                <w:rFonts w:hint="eastAsia" w:ascii="宋体" w:hAnsi="宋体" w:eastAsia="宋体"/>
                <w:sz w:val="21"/>
                <w:szCs w:val="21"/>
                <w:lang w:eastAsia="zh-CN"/>
              </w:rPr>
              <w:t>分</w:t>
            </w:r>
            <w:r>
              <w:rPr>
                <w:rFonts w:hint="eastAsia" w:ascii="宋体" w:hAnsi="宋体" w:eastAsia="宋体" w:cs="宋体"/>
                <w:sz w:val="21"/>
                <w:szCs w:val="21"/>
              </w:rPr>
              <w:t>；</w:t>
            </w:r>
          </w:p>
          <w:p w14:paraId="15475215">
            <w:pPr>
              <w:spacing w:before="0"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实施方案编制差或描述较少</w:t>
            </w:r>
            <w:r>
              <w:rPr>
                <w:rFonts w:hint="eastAsia" w:ascii="宋体" w:hAnsi="宋体" w:eastAsia="宋体" w:cs="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2</w:t>
            </w:r>
            <w:r>
              <w:rPr>
                <w:rFonts w:hint="eastAsia" w:ascii="宋体" w:hAnsi="宋体" w:eastAsia="宋体"/>
                <w:sz w:val="21"/>
                <w:szCs w:val="21"/>
                <w:lang w:eastAsia="zh-CN"/>
              </w:rPr>
              <w:t>分</w:t>
            </w:r>
            <w:r>
              <w:rPr>
                <w:rFonts w:hint="eastAsia" w:ascii="宋体" w:hAnsi="宋体" w:eastAsia="宋体" w:cs="宋体"/>
                <w:sz w:val="21"/>
                <w:szCs w:val="21"/>
                <w:lang w:eastAsia="zh-CN"/>
              </w:rPr>
              <w:t>；</w:t>
            </w:r>
          </w:p>
          <w:p w14:paraId="65CD1FE0">
            <w:pPr>
              <w:spacing w:before="0" w:after="0" w:line="360" w:lineRule="auto"/>
              <w:jc w:val="both"/>
              <w:rPr>
                <w:rFonts w:hint="eastAsia" w:ascii="宋体" w:hAnsi="宋体" w:cs="宋体"/>
                <w:sz w:val="24"/>
              </w:rPr>
            </w:pPr>
            <w:r>
              <w:rPr>
                <w:rFonts w:hint="eastAsia" w:ascii="宋体" w:hAnsi="宋体" w:eastAsia="宋体" w:cs="宋体"/>
                <w:sz w:val="21"/>
                <w:szCs w:val="21"/>
              </w:rPr>
              <w:t>缺项不得分。</w:t>
            </w:r>
          </w:p>
        </w:tc>
      </w:tr>
      <w:tr w14:paraId="41AC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843" w:type="dxa"/>
            <w:vMerge w:val="continue"/>
            <w:vAlign w:val="center"/>
          </w:tcPr>
          <w:p w14:paraId="2FDA13EB">
            <w:pPr>
              <w:spacing w:before="0" w:after="0" w:line="360" w:lineRule="auto"/>
              <w:jc w:val="center"/>
              <w:rPr>
                <w:rFonts w:hint="eastAsia" w:ascii="宋体" w:hAnsi="宋体" w:cs="宋体"/>
                <w:b/>
                <w:sz w:val="24"/>
              </w:rPr>
            </w:pPr>
          </w:p>
        </w:tc>
        <w:tc>
          <w:tcPr>
            <w:tcW w:w="1091" w:type="dxa"/>
            <w:gridSpan w:val="2"/>
            <w:vMerge w:val="continue"/>
            <w:vAlign w:val="center"/>
          </w:tcPr>
          <w:p w14:paraId="7820F098">
            <w:pPr>
              <w:spacing w:before="0" w:after="0" w:line="360" w:lineRule="auto"/>
              <w:jc w:val="center"/>
              <w:rPr>
                <w:rFonts w:hint="eastAsia" w:ascii="宋体" w:hAnsi="宋体" w:cs="宋体"/>
                <w:b/>
                <w:sz w:val="24"/>
              </w:rPr>
            </w:pPr>
          </w:p>
        </w:tc>
        <w:tc>
          <w:tcPr>
            <w:tcW w:w="1230" w:type="dxa"/>
            <w:gridSpan w:val="2"/>
            <w:vAlign w:val="center"/>
          </w:tcPr>
          <w:p w14:paraId="4F277DE0">
            <w:pPr>
              <w:spacing w:before="0" w:after="0" w:line="360" w:lineRule="auto"/>
              <w:jc w:val="left"/>
              <w:rPr>
                <w:rFonts w:hint="eastAsia" w:ascii="宋体" w:hAnsi="宋体" w:cs="宋体"/>
                <w:spacing w:val="4"/>
                <w:sz w:val="24"/>
              </w:rPr>
            </w:pPr>
            <w:r>
              <w:rPr>
                <w:rFonts w:hint="eastAsia" w:ascii="宋体" w:hAnsi="宋体" w:eastAsia="宋体"/>
                <w:sz w:val="21"/>
                <w:szCs w:val="21"/>
                <w:lang w:eastAsia="zh-CN"/>
              </w:rPr>
              <w:t>质量及安全控制措施（</w:t>
            </w:r>
            <w:r>
              <w:rPr>
                <w:rFonts w:hint="eastAsia" w:ascii="宋体" w:hAnsi="宋体"/>
                <w:sz w:val="21"/>
                <w:szCs w:val="21"/>
                <w:lang w:val="en-US" w:eastAsia="zh-CN"/>
              </w:rPr>
              <w:t>8</w:t>
            </w:r>
            <w:r>
              <w:rPr>
                <w:rFonts w:hint="eastAsia" w:ascii="宋体" w:hAnsi="宋体" w:eastAsia="宋体"/>
                <w:sz w:val="21"/>
                <w:szCs w:val="21"/>
                <w:lang w:eastAsia="zh-CN"/>
              </w:rPr>
              <w:t>分）</w:t>
            </w:r>
          </w:p>
        </w:tc>
        <w:tc>
          <w:tcPr>
            <w:tcW w:w="6742" w:type="dxa"/>
            <w:gridSpan w:val="2"/>
            <w:vAlign w:val="center"/>
          </w:tcPr>
          <w:p w14:paraId="501DA013">
            <w:pPr>
              <w:spacing w:before="0" w:after="0" w:line="360" w:lineRule="auto"/>
              <w:jc w:val="left"/>
              <w:rPr>
                <w:rFonts w:ascii="宋体" w:hAnsi="宋体" w:eastAsia="宋体"/>
                <w:sz w:val="21"/>
                <w:szCs w:val="21"/>
                <w:lang w:eastAsia="zh-CN"/>
              </w:rPr>
            </w:pPr>
            <w:r>
              <w:rPr>
                <w:rFonts w:hint="eastAsia" w:ascii="宋体" w:hAnsi="宋体" w:eastAsia="宋体"/>
                <w:sz w:val="21"/>
                <w:szCs w:val="21"/>
                <w:lang w:eastAsia="zh-CN"/>
              </w:rPr>
              <w:t>对采购过程的质量监督与控制计划，安全控制措施；遇到紧急问题的解决方案和现场与各部门的协调管理计划等情况进行评价：</w:t>
            </w:r>
          </w:p>
          <w:p w14:paraId="1BB98ED3">
            <w:pPr>
              <w:spacing w:before="0" w:after="0" w:line="360" w:lineRule="auto"/>
              <w:jc w:val="left"/>
              <w:rPr>
                <w:rFonts w:ascii="宋体" w:hAnsi="宋体" w:eastAsia="宋体"/>
                <w:sz w:val="21"/>
                <w:szCs w:val="21"/>
                <w:lang w:eastAsia="zh-CN"/>
              </w:rPr>
            </w:pPr>
            <w:r>
              <w:rPr>
                <w:rFonts w:hint="eastAsia" w:ascii="宋体" w:hAnsi="宋体" w:eastAsia="宋体"/>
                <w:sz w:val="21"/>
                <w:szCs w:val="21"/>
                <w:lang w:eastAsia="zh-CN"/>
              </w:rPr>
              <w:t>措施完整、详实可行、针对性强</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8</w:t>
            </w:r>
            <w:r>
              <w:rPr>
                <w:rFonts w:hint="eastAsia" w:ascii="宋体" w:hAnsi="宋体" w:eastAsia="宋体"/>
                <w:sz w:val="21"/>
                <w:szCs w:val="21"/>
                <w:lang w:eastAsia="zh-CN"/>
              </w:rPr>
              <w:t>分；</w:t>
            </w:r>
          </w:p>
          <w:p w14:paraId="18D2EF64">
            <w:pPr>
              <w:spacing w:before="0" w:after="0" w:line="360" w:lineRule="auto"/>
              <w:jc w:val="left"/>
              <w:rPr>
                <w:rFonts w:ascii="宋体" w:hAnsi="宋体" w:eastAsia="宋体"/>
                <w:sz w:val="21"/>
                <w:szCs w:val="21"/>
                <w:lang w:eastAsia="zh-CN"/>
              </w:rPr>
            </w:pPr>
            <w:r>
              <w:rPr>
                <w:rFonts w:hint="eastAsia" w:ascii="宋体" w:hAnsi="宋体" w:eastAsia="宋体"/>
                <w:sz w:val="21"/>
                <w:szCs w:val="21"/>
                <w:lang w:eastAsia="zh-CN"/>
              </w:rPr>
              <w:t>措施常规、通用、基本可行</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5</w:t>
            </w:r>
            <w:r>
              <w:rPr>
                <w:rFonts w:hint="eastAsia" w:ascii="宋体" w:hAnsi="宋体" w:eastAsia="宋体"/>
                <w:sz w:val="21"/>
                <w:szCs w:val="21"/>
                <w:lang w:eastAsia="zh-CN"/>
              </w:rPr>
              <w:t>分；</w:t>
            </w:r>
          </w:p>
          <w:p w14:paraId="1CF24FA3">
            <w:pPr>
              <w:spacing w:before="0" w:after="0" w:line="360" w:lineRule="auto"/>
              <w:jc w:val="left"/>
              <w:rPr>
                <w:rFonts w:ascii="宋体" w:hAnsi="宋体" w:eastAsia="宋体"/>
                <w:sz w:val="21"/>
                <w:szCs w:val="21"/>
                <w:lang w:eastAsia="zh-CN"/>
              </w:rPr>
            </w:pPr>
            <w:r>
              <w:rPr>
                <w:rFonts w:hint="eastAsia" w:ascii="宋体" w:hAnsi="宋体" w:eastAsia="宋体"/>
                <w:sz w:val="21"/>
                <w:szCs w:val="21"/>
                <w:lang w:eastAsia="zh-CN"/>
              </w:rPr>
              <w:t>措施存在偏差、可行性差</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2</w:t>
            </w:r>
            <w:r>
              <w:rPr>
                <w:rFonts w:hint="eastAsia" w:ascii="宋体" w:hAnsi="宋体" w:eastAsia="宋体"/>
                <w:sz w:val="21"/>
                <w:szCs w:val="21"/>
                <w:lang w:eastAsia="zh-CN"/>
              </w:rPr>
              <w:t>分；</w:t>
            </w:r>
          </w:p>
          <w:p w14:paraId="050A03A8">
            <w:pPr>
              <w:spacing w:before="0" w:after="0" w:line="360" w:lineRule="auto"/>
              <w:jc w:val="both"/>
              <w:rPr>
                <w:rFonts w:hint="eastAsia" w:ascii="宋体" w:hAnsi="宋体" w:cs="宋体"/>
                <w:sz w:val="24"/>
              </w:rPr>
            </w:pPr>
            <w:r>
              <w:rPr>
                <w:rFonts w:hint="eastAsia" w:ascii="宋体" w:hAnsi="宋体" w:eastAsia="宋体"/>
                <w:sz w:val="21"/>
                <w:szCs w:val="21"/>
                <w:lang w:eastAsia="zh-CN"/>
              </w:rPr>
              <w:t>不提供不得分。</w:t>
            </w:r>
          </w:p>
        </w:tc>
      </w:tr>
      <w:tr w14:paraId="73DF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843" w:type="dxa"/>
            <w:vMerge w:val="continue"/>
            <w:vAlign w:val="center"/>
          </w:tcPr>
          <w:p w14:paraId="72A61BC9">
            <w:pPr>
              <w:spacing w:before="0" w:after="0" w:line="360" w:lineRule="auto"/>
              <w:jc w:val="center"/>
              <w:rPr>
                <w:rFonts w:hint="eastAsia" w:ascii="宋体" w:hAnsi="宋体" w:cs="宋体"/>
                <w:sz w:val="24"/>
              </w:rPr>
            </w:pPr>
          </w:p>
        </w:tc>
        <w:tc>
          <w:tcPr>
            <w:tcW w:w="1091" w:type="dxa"/>
            <w:gridSpan w:val="2"/>
            <w:vMerge w:val="continue"/>
            <w:vAlign w:val="center"/>
          </w:tcPr>
          <w:p w14:paraId="25BB1E1D">
            <w:pPr>
              <w:spacing w:before="0" w:after="0" w:line="360" w:lineRule="auto"/>
              <w:jc w:val="center"/>
              <w:rPr>
                <w:rFonts w:hint="eastAsia" w:ascii="宋体" w:hAnsi="宋体" w:cs="宋体"/>
                <w:b/>
                <w:bCs/>
                <w:sz w:val="24"/>
              </w:rPr>
            </w:pPr>
          </w:p>
        </w:tc>
        <w:tc>
          <w:tcPr>
            <w:tcW w:w="1230" w:type="dxa"/>
            <w:gridSpan w:val="2"/>
            <w:vAlign w:val="center"/>
          </w:tcPr>
          <w:p w14:paraId="60389EFD">
            <w:pPr>
              <w:spacing w:before="0" w:after="0" w:line="360" w:lineRule="auto"/>
              <w:jc w:val="left"/>
              <w:rPr>
                <w:rFonts w:hint="eastAsia" w:ascii="宋体" w:hAnsi="宋体" w:cs="宋体"/>
                <w:sz w:val="24"/>
              </w:rPr>
            </w:pPr>
            <w:r>
              <w:rPr>
                <w:rFonts w:hint="eastAsia" w:ascii="宋体" w:hAnsi="宋体" w:eastAsia="宋体" w:cs="宋体"/>
                <w:sz w:val="21"/>
                <w:szCs w:val="21"/>
              </w:rPr>
              <w:t>安全管理方案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8分</w:t>
            </w:r>
            <w:r>
              <w:rPr>
                <w:rFonts w:hint="eastAsia" w:ascii="宋体" w:hAnsi="宋体" w:eastAsia="宋体" w:cs="宋体"/>
                <w:sz w:val="21"/>
                <w:szCs w:val="21"/>
                <w:lang w:eastAsia="zh-CN"/>
              </w:rPr>
              <w:t>）</w:t>
            </w:r>
          </w:p>
        </w:tc>
        <w:tc>
          <w:tcPr>
            <w:tcW w:w="6742" w:type="dxa"/>
            <w:gridSpan w:val="2"/>
            <w:vAlign w:val="center"/>
          </w:tcPr>
          <w:p w14:paraId="23523EF1">
            <w:pPr>
              <w:spacing w:line="380" w:lineRule="exact"/>
              <w:jc w:val="left"/>
              <w:rPr>
                <w:rFonts w:hint="eastAsia" w:ascii="宋体" w:hAnsi="宋体" w:eastAsia="宋体" w:cs="宋体"/>
                <w:sz w:val="21"/>
                <w:szCs w:val="21"/>
              </w:rPr>
            </w:pPr>
            <w:r>
              <w:rPr>
                <w:rFonts w:hint="eastAsia" w:ascii="宋体" w:hAnsi="宋体" w:eastAsia="宋体" w:cs="宋体"/>
                <w:sz w:val="21"/>
                <w:szCs w:val="21"/>
              </w:rPr>
              <w:t>根据供应商的安全管理方案整体编制水平进行评分，</w:t>
            </w:r>
          </w:p>
          <w:p w14:paraId="682C3734">
            <w:pPr>
              <w:spacing w:line="38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编制科学、完善合理、可行、针对性强</w:t>
            </w:r>
            <w:r>
              <w:rPr>
                <w:rFonts w:hint="eastAsia" w:ascii="宋体" w:hAnsi="宋体" w:eastAsia="宋体" w:cs="宋体"/>
                <w:sz w:val="21"/>
                <w:szCs w:val="21"/>
                <w:lang w:val="en-US" w:eastAsia="zh-CN"/>
              </w:rPr>
              <w:t>的</w:t>
            </w:r>
            <w:r>
              <w:rPr>
                <w:rFonts w:hint="eastAsia" w:ascii="宋体" w:hAnsi="宋体"/>
                <w:sz w:val="21"/>
                <w:szCs w:val="21"/>
                <w:lang w:val="en-US" w:eastAsia="zh-CN"/>
              </w:rPr>
              <w:t>5</w:t>
            </w:r>
            <w:r>
              <w:rPr>
                <w:rFonts w:hint="eastAsia" w:ascii="宋体" w:hAnsi="宋体" w:eastAsia="宋体"/>
                <w:sz w:val="21"/>
                <w:szCs w:val="21"/>
                <w:lang w:eastAsia="zh-CN"/>
              </w:rPr>
              <w:t>得</w:t>
            </w:r>
            <w:r>
              <w:rPr>
                <w:rFonts w:hint="eastAsia" w:ascii="宋体" w:hAnsi="宋体" w:eastAsia="宋体"/>
                <w:sz w:val="21"/>
                <w:szCs w:val="21"/>
                <w:lang w:val="en-US" w:eastAsia="zh-CN"/>
              </w:rPr>
              <w:t>8</w:t>
            </w:r>
            <w:r>
              <w:rPr>
                <w:rFonts w:hint="eastAsia" w:ascii="宋体" w:hAnsi="宋体" w:eastAsia="宋体"/>
                <w:sz w:val="21"/>
                <w:szCs w:val="21"/>
                <w:lang w:eastAsia="zh-CN"/>
              </w:rPr>
              <w:t>分</w:t>
            </w:r>
            <w:r>
              <w:rPr>
                <w:rFonts w:hint="eastAsia" w:ascii="宋体" w:hAnsi="宋体" w:eastAsia="宋体" w:cs="宋体"/>
                <w:sz w:val="21"/>
                <w:szCs w:val="21"/>
              </w:rPr>
              <w:t>；</w:t>
            </w:r>
          </w:p>
          <w:p w14:paraId="0D39F18C">
            <w:pPr>
              <w:spacing w:line="38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编制比较完善合理、可行、有针对性</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5</w:t>
            </w:r>
            <w:r>
              <w:rPr>
                <w:rFonts w:hint="eastAsia" w:ascii="宋体" w:hAnsi="宋体" w:eastAsia="宋体"/>
                <w:sz w:val="21"/>
                <w:szCs w:val="21"/>
                <w:lang w:eastAsia="zh-CN"/>
              </w:rPr>
              <w:t>分</w:t>
            </w:r>
            <w:r>
              <w:rPr>
                <w:rFonts w:hint="eastAsia" w:ascii="宋体" w:hAnsi="宋体" w:eastAsia="宋体" w:cs="宋体"/>
                <w:sz w:val="21"/>
                <w:szCs w:val="21"/>
              </w:rPr>
              <w:t>；</w:t>
            </w:r>
          </w:p>
          <w:p w14:paraId="5C091D5E">
            <w:pPr>
              <w:spacing w:before="0"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编制针对性及整体编制差</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2</w:t>
            </w:r>
            <w:r>
              <w:rPr>
                <w:rFonts w:hint="eastAsia" w:ascii="宋体" w:hAnsi="宋体" w:eastAsia="宋体"/>
                <w:sz w:val="21"/>
                <w:szCs w:val="21"/>
                <w:lang w:eastAsia="zh-CN"/>
              </w:rPr>
              <w:t>分</w:t>
            </w:r>
            <w:r>
              <w:rPr>
                <w:rFonts w:hint="eastAsia" w:ascii="宋体" w:hAnsi="宋体" w:eastAsia="宋体" w:cs="宋体"/>
                <w:sz w:val="21"/>
                <w:szCs w:val="21"/>
                <w:lang w:eastAsia="zh-CN"/>
              </w:rPr>
              <w:t>；</w:t>
            </w:r>
          </w:p>
          <w:p w14:paraId="772B9D00">
            <w:pPr>
              <w:spacing w:before="0" w:after="0" w:line="360" w:lineRule="auto"/>
              <w:jc w:val="both"/>
              <w:rPr>
                <w:rFonts w:hint="eastAsia" w:ascii="宋体" w:hAnsi="宋体" w:cs="宋体"/>
                <w:sz w:val="24"/>
              </w:rPr>
            </w:pPr>
            <w:r>
              <w:rPr>
                <w:rFonts w:hint="eastAsia" w:ascii="宋体" w:hAnsi="宋体" w:eastAsia="宋体" w:cs="宋体"/>
                <w:sz w:val="21"/>
                <w:szCs w:val="21"/>
              </w:rPr>
              <w:t>缺项不得分。</w:t>
            </w:r>
          </w:p>
        </w:tc>
      </w:tr>
      <w:tr w14:paraId="2696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43" w:type="dxa"/>
            <w:vMerge w:val="continue"/>
            <w:vAlign w:val="center"/>
          </w:tcPr>
          <w:p w14:paraId="75AEAC05">
            <w:pPr>
              <w:spacing w:before="0" w:after="0" w:line="360" w:lineRule="auto"/>
              <w:jc w:val="center"/>
              <w:rPr>
                <w:rFonts w:hint="eastAsia" w:ascii="宋体" w:hAnsi="宋体" w:cs="宋体"/>
                <w:b/>
                <w:bCs/>
                <w:sz w:val="24"/>
              </w:rPr>
            </w:pPr>
          </w:p>
        </w:tc>
        <w:tc>
          <w:tcPr>
            <w:tcW w:w="1091" w:type="dxa"/>
            <w:gridSpan w:val="2"/>
            <w:vMerge w:val="continue"/>
            <w:vAlign w:val="center"/>
          </w:tcPr>
          <w:p w14:paraId="709C1E6F">
            <w:pPr>
              <w:spacing w:before="0" w:after="0" w:line="360" w:lineRule="auto"/>
              <w:jc w:val="center"/>
              <w:rPr>
                <w:rFonts w:hint="eastAsia" w:ascii="宋体" w:hAnsi="宋体" w:cs="宋体"/>
                <w:b/>
                <w:bCs/>
                <w:sz w:val="24"/>
              </w:rPr>
            </w:pPr>
          </w:p>
        </w:tc>
        <w:tc>
          <w:tcPr>
            <w:tcW w:w="1230" w:type="dxa"/>
            <w:gridSpan w:val="2"/>
            <w:vAlign w:val="center"/>
          </w:tcPr>
          <w:p w14:paraId="7A4B5DD3">
            <w:pPr>
              <w:spacing w:before="0" w:after="0" w:line="360" w:lineRule="auto"/>
              <w:jc w:val="left"/>
              <w:rPr>
                <w:rFonts w:hint="eastAsia" w:ascii="宋体" w:hAnsi="宋体" w:cs="宋体"/>
                <w:sz w:val="24"/>
              </w:rPr>
            </w:pPr>
            <w:r>
              <w:rPr>
                <w:rFonts w:hint="eastAsia" w:ascii="宋体" w:hAnsi="宋体" w:eastAsia="宋体" w:cs="宋体"/>
                <w:sz w:val="21"/>
                <w:szCs w:val="21"/>
              </w:rPr>
              <w:t>保密管理制度方案(</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c>
          <w:tcPr>
            <w:tcW w:w="6742" w:type="dxa"/>
            <w:gridSpan w:val="2"/>
            <w:vAlign w:val="center"/>
          </w:tcPr>
          <w:p w14:paraId="18CAF698">
            <w:pPr>
              <w:spacing w:line="380" w:lineRule="exact"/>
              <w:jc w:val="left"/>
              <w:rPr>
                <w:rFonts w:hint="eastAsia" w:ascii="宋体" w:hAnsi="宋体" w:eastAsia="宋体" w:cs="宋体"/>
                <w:sz w:val="21"/>
                <w:szCs w:val="21"/>
              </w:rPr>
            </w:pPr>
            <w:r>
              <w:rPr>
                <w:rFonts w:hint="eastAsia" w:ascii="宋体" w:hAnsi="宋体" w:eastAsia="宋体" w:cs="宋体"/>
                <w:sz w:val="21"/>
                <w:szCs w:val="21"/>
              </w:rPr>
              <w:t>根据供应商的安全管理方案整体编制水平进行评分，</w:t>
            </w:r>
          </w:p>
          <w:p w14:paraId="7CC2513C">
            <w:pPr>
              <w:spacing w:line="38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编制科学、完善合理、可行、针对性强</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8</w:t>
            </w:r>
            <w:r>
              <w:rPr>
                <w:rFonts w:hint="eastAsia" w:ascii="宋体" w:hAnsi="宋体" w:eastAsia="宋体"/>
                <w:sz w:val="21"/>
                <w:szCs w:val="21"/>
                <w:lang w:eastAsia="zh-CN"/>
              </w:rPr>
              <w:t>分</w:t>
            </w:r>
            <w:r>
              <w:rPr>
                <w:rFonts w:hint="eastAsia" w:ascii="宋体" w:hAnsi="宋体" w:eastAsia="宋体" w:cs="宋体"/>
                <w:sz w:val="21"/>
                <w:szCs w:val="21"/>
              </w:rPr>
              <w:t>；</w:t>
            </w:r>
          </w:p>
          <w:p w14:paraId="6B1C7D5D">
            <w:pPr>
              <w:spacing w:line="38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编制比较完善合理、可行、有针对性</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5</w:t>
            </w:r>
            <w:r>
              <w:rPr>
                <w:rFonts w:hint="eastAsia" w:ascii="宋体" w:hAnsi="宋体" w:eastAsia="宋体"/>
                <w:sz w:val="21"/>
                <w:szCs w:val="21"/>
                <w:lang w:eastAsia="zh-CN"/>
              </w:rPr>
              <w:t>分</w:t>
            </w:r>
            <w:r>
              <w:rPr>
                <w:rFonts w:hint="eastAsia" w:ascii="宋体" w:hAnsi="宋体" w:eastAsia="宋体" w:cs="宋体"/>
                <w:sz w:val="21"/>
                <w:szCs w:val="21"/>
              </w:rPr>
              <w:t>；</w:t>
            </w:r>
          </w:p>
          <w:p w14:paraId="245A45EB">
            <w:pPr>
              <w:spacing w:before="0" w:after="0" w:line="360" w:lineRule="auto"/>
              <w:jc w:val="both"/>
              <w:rPr>
                <w:rFonts w:hint="eastAsia" w:ascii="宋体" w:hAnsi="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编制针对性及整体编制差</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2</w:t>
            </w:r>
            <w:r>
              <w:rPr>
                <w:rFonts w:hint="eastAsia" w:ascii="宋体" w:hAnsi="宋体" w:eastAsia="宋体"/>
                <w:sz w:val="21"/>
                <w:szCs w:val="21"/>
                <w:lang w:eastAsia="zh-CN"/>
              </w:rPr>
              <w:t>分</w:t>
            </w:r>
            <w:r>
              <w:rPr>
                <w:rFonts w:hint="eastAsia" w:ascii="宋体" w:hAnsi="宋体"/>
                <w:sz w:val="21"/>
                <w:szCs w:val="21"/>
                <w:lang w:val="en-US" w:eastAsia="zh-CN"/>
              </w:rPr>
              <w:t>；</w:t>
            </w:r>
          </w:p>
          <w:p w14:paraId="75255951">
            <w:pPr>
              <w:spacing w:before="0" w:after="0" w:line="360" w:lineRule="auto"/>
              <w:jc w:val="both"/>
              <w:rPr>
                <w:rFonts w:hint="eastAsia" w:ascii="宋体" w:hAnsi="宋体" w:cs="宋体"/>
                <w:sz w:val="24"/>
              </w:rPr>
            </w:pPr>
            <w:r>
              <w:rPr>
                <w:rFonts w:hint="eastAsia" w:ascii="宋体" w:hAnsi="宋体" w:eastAsia="宋体" w:cs="宋体"/>
                <w:sz w:val="21"/>
                <w:szCs w:val="21"/>
              </w:rPr>
              <w:t>缺项不得分。</w:t>
            </w:r>
          </w:p>
        </w:tc>
      </w:tr>
      <w:tr w14:paraId="5849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43" w:type="dxa"/>
            <w:vMerge w:val="restart"/>
            <w:vAlign w:val="center"/>
          </w:tcPr>
          <w:p w14:paraId="1CBD459A">
            <w:pPr>
              <w:spacing w:before="0" w:after="0" w:line="360" w:lineRule="auto"/>
              <w:jc w:val="center"/>
              <w:rPr>
                <w:rFonts w:hint="eastAsia" w:ascii="宋体" w:hAnsi="宋体" w:cs="宋体"/>
                <w:b/>
                <w:bCs/>
                <w:sz w:val="24"/>
              </w:rPr>
            </w:pPr>
          </w:p>
        </w:tc>
        <w:tc>
          <w:tcPr>
            <w:tcW w:w="1091" w:type="dxa"/>
            <w:gridSpan w:val="2"/>
            <w:vMerge w:val="restart"/>
            <w:vAlign w:val="center"/>
          </w:tcPr>
          <w:p w14:paraId="1F420B6C">
            <w:pPr>
              <w:spacing w:before="0" w:after="0" w:line="360" w:lineRule="auto"/>
              <w:jc w:val="center"/>
              <w:rPr>
                <w:rFonts w:hint="eastAsia" w:ascii="宋体" w:hAnsi="宋体" w:cs="宋体"/>
                <w:b/>
                <w:bCs/>
                <w:sz w:val="24"/>
              </w:rPr>
            </w:pPr>
          </w:p>
        </w:tc>
        <w:tc>
          <w:tcPr>
            <w:tcW w:w="1230" w:type="dxa"/>
            <w:gridSpan w:val="2"/>
            <w:vAlign w:val="center"/>
          </w:tcPr>
          <w:p w14:paraId="2DC81A0D">
            <w:pPr>
              <w:spacing w:before="0" w:after="0" w:line="360" w:lineRule="auto"/>
              <w:jc w:val="left"/>
              <w:rPr>
                <w:rFonts w:hint="eastAsia" w:ascii="宋体" w:hAnsi="宋体" w:eastAsia="宋体" w:cs="宋体"/>
                <w:sz w:val="21"/>
                <w:szCs w:val="21"/>
              </w:rPr>
            </w:pPr>
            <w:r>
              <w:rPr>
                <w:rFonts w:hint="eastAsia" w:ascii="宋体" w:hAnsi="宋体" w:eastAsia="宋体" w:cs="宋体"/>
                <w:sz w:val="21"/>
                <w:szCs w:val="21"/>
              </w:rPr>
              <w:t>应急方案（</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c>
          <w:tcPr>
            <w:tcW w:w="6742" w:type="dxa"/>
            <w:gridSpan w:val="2"/>
            <w:vAlign w:val="center"/>
          </w:tcPr>
          <w:p w14:paraId="3CA0E520">
            <w:pPr>
              <w:spacing w:line="380" w:lineRule="exact"/>
              <w:jc w:val="left"/>
              <w:rPr>
                <w:rFonts w:hint="eastAsia" w:ascii="宋体" w:hAnsi="宋体" w:eastAsia="宋体" w:cs="宋体"/>
                <w:sz w:val="21"/>
                <w:szCs w:val="21"/>
              </w:rPr>
            </w:pPr>
            <w:r>
              <w:rPr>
                <w:rFonts w:hint="eastAsia" w:ascii="宋体" w:hAnsi="宋体" w:eastAsia="宋体" w:cs="宋体"/>
                <w:sz w:val="21"/>
                <w:szCs w:val="21"/>
              </w:rPr>
              <w:t>根据应急方案（包含突发事件、重大活动、重要检查及各级业务主管部门安排的临时性工作等）整体编制水平，基于突发事件的应急方案的实用性、全面性可行性进行打分。</w:t>
            </w:r>
          </w:p>
          <w:p w14:paraId="05D8441F">
            <w:pPr>
              <w:spacing w:line="38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应急方案完善、合理、可行、全面，内容针对性强</w:t>
            </w:r>
            <w:r>
              <w:rPr>
                <w:rFonts w:hint="eastAsia" w:ascii="宋体" w:hAnsi="宋体" w:eastAsia="宋体" w:cs="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8</w:t>
            </w:r>
            <w:r>
              <w:rPr>
                <w:rFonts w:hint="eastAsia" w:ascii="宋体" w:hAnsi="宋体" w:eastAsia="宋体"/>
                <w:sz w:val="21"/>
                <w:szCs w:val="21"/>
                <w:lang w:eastAsia="zh-CN"/>
              </w:rPr>
              <w:t>分</w:t>
            </w:r>
            <w:r>
              <w:rPr>
                <w:rFonts w:hint="eastAsia" w:ascii="宋体" w:hAnsi="宋体" w:eastAsia="宋体" w:cs="宋体"/>
                <w:sz w:val="21"/>
                <w:szCs w:val="21"/>
              </w:rPr>
              <w:t>；</w:t>
            </w:r>
          </w:p>
          <w:p w14:paraId="65A182CB">
            <w:pPr>
              <w:spacing w:line="38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应急方案比较合理、可行，内容较完整、内容有针对性</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5</w:t>
            </w:r>
            <w:r>
              <w:rPr>
                <w:rFonts w:hint="eastAsia" w:ascii="宋体" w:hAnsi="宋体" w:eastAsia="宋体"/>
                <w:sz w:val="21"/>
                <w:szCs w:val="21"/>
                <w:lang w:eastAsia="zh-CN"/>
              </w:rPr>
              <w:t>分</w:t>
            </w:r>
            <w:r>
              <w:rPr>
                <w:rFonts w:hint="eastAsia" w:ascii="宋体" w:hAnsi="宋体" w:eastAsia="宋体" w:cs="宋体"/>
                <w:sz w:val="21"/>
                <w:szCs w:val="21"/>
              </w:rPr>
              <w:t>；</w:t>
            </w:r>
          </w:p>
          <w:p w14:paraId="6AA1AA88">
            <w:pPr>
              <w:spacing w:before="0"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应急方案内容不全或没有针对性</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2</w:t>
            </w:r>
            <w:r>
              <w:rPr>
                <w:rFonts w:hint="eastAsia" w:ascii="宋体" w:hAnsi="宋体" w:eastAsia="宋体"/>
                <w:sz w:val="21"/>
                <w:szCs w:val="21"/>
                <w:lang w:eastAsia="zh-CN"/>
              </w:rPr>
              <w:t>分</w:t>
            </w:r>
            <w:r>
              <w:rPr>
                <w:rFonts w:hint="eastAsia" w:ascii="宋体" w:hAnsi="宋体" w:eastAsia="宋体" w:cs="宋体"/>
                <w:sz w:val="21"/>
                <w:szCs w:val="21"/>
                <w:lang w:eastAsia="zh-CN"/>
              </w:rPr>
              <w:t>；</w:t>
            </w:r>
          </w:p>
          <w:p w14:paraId="32387706">
            <w:pPr>
              <w:spacing w:before="0" w:after="0" w:line="360" w:lineRule="auto"/>
              <w:jc w:val="both"/>
              <w:rPr>
                <w:rFonts w:hint="eastAsia" w:ascii="宋体" w:hAnsi="宋体" w:eastAsia="宋体" w:cs="宋体"/>
                <w:sz w:val="21"/>
                <w:szCs w:val="21"/>
              </w:rPr>
            </w:pPr>
            <w:r>
              <w:rPr>
                <w:rFonts w:hint="eastAsia" w:ascii="宋体" w:hAnsi="宋体" w:eastAsia="宋体" w:cs="宋体"/>
                <w:sz w:val="21"/>
                <w:szCs w:val="21"/>
              </w:rPr>
              <w:t>缺项不得分</w:t>
            </w:r>
          </w:p>
        </w:tc>
      </w:tr>
      <w:tr w14:paraId="7E85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43" w:type="dxa"/>
            <w:vMerge w:val="continue"/>
            <w:vAlign w:val="center"/>
          </w:tcPr>
          <w:p w14:paraId="13C60F59">
            <w:pPr>
              <w:spacing w:before="0" w:after="0" w:line="360" w:lineRule="auto"/>
              <w:jc w:val="center"/>
              <w:rPr>
                <w:rFonts w:hint="eastAsia" w:ascii="宋体" w:hAnsi="宋体" w:cs="宋体"/>
                <w:b/>
                <w:bCs/>
                <w:sz w:val="24"/>
              </w:rPr>
            </w:pPr>
          </w:p>
        </w:tc>
        <w:tc>
          <w:tcPr>
            <w:tcW w:w="1091" w:type="dxa"/>
            <w:gridSpan w:val="2"/>
            <w:vMerge w:val="continue"/>
            <w:vAlign w:val="center"/>
          </w:tcPr>
          <w:p w14:paraId="23156ABE">
            <w:pPr>
              <w:spacing w:before="0" w:after="0" w:line="360" w:lineRule="auto"/>
              <w:jc w:val="center"/>
              <w:rPr>
                <w:rFonts w:hint="eastAsia" w:ascii="宋体" w:hAnsi="宋体" w:cs="宋体"/>
                <w:b/>
                <w:bCs/>
                <w:sz w:val="24"/>
              </w:rPr>
            </w:pPr>
          </w:p>
        </w:tc>
        <w:tc>
          <w:tcPr>
            <w:tcW w:w="1230" w:type="dxa"/>
            <w:gridSpan w:val="2"/>
            <w:vAlign w:val="center"/>
          </w:tcPr>
          <w:p w14:paraId="0B12088B">
            <w:pPr>
              <w:spacing w:before="0" w:after="0" w:line="360" w:lineRule="auto"/>
              <w:jc w:val="left"/>
              <w:rPr>
                <w:rFonts w:hint="eastAsia" w:ascii="宋体" w:hAnsi="宋体" w:eastAsia="宋体" w:cs="宋体"/>
                <w:sz w:val="21"/>
                <w:szCs w:val="21"/>
              </w:rPr>
            </w:pPr>
            <w:r>
              <w:rPr>
                <w:rFonts w:hint="eastAsia" w:ascii="宋体" w:hAnsi="宋体" w:eastAsia="宋体" w:cs="宋体"/>
                <w:sz w:val="21"/>
                <w:szCs w:val="21"/>
              </w:rPr>
              <w:t>培训计划(</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c>
          <w:tcPr>
            <w:tcW w:w="6742" w:type="dxa"/>
            <w:gridSpan w:val="2"/>
            <w:vAlign w:val="center"/>
          </w:tcPr>
          <w:p w14:paraId="731DDD24">
            <w:pPr>
              <w:spacing w:line="380" w:lineRule="exact"/>
              <w:jc w:val="left"/>
              <w:rPr>
                <w:rFonts w:hint="eastAsia" w:ascii="宋体" w:hAnsi="宋体" w:eastAsia="宋体" w:cs="宋体"/>
                <w:sz w:val="21"/>
                <w:szCs w:val="21"/>
              </w:rPr>
            </w:pPr>
            <w:r>
              <w:rPr>
                <w:rFonts w:hint="eastAsia" w:ascii="宋体" w:hAnsi="宋体" w:eastAsia="宋体" w:cs="宋体"/>
                <w:sz w:val="21"/>
                <w:szCs w:val="21"/>
              </w:rPr>
              <w:t>培训计划，针对本次</w:t>
            </w:r>
            <w:r>
              <w:rPr>
                <w:rFonts w:hint="eastAsia" w:ascii="宋体" w:hAnsi="宋体" w:cs="宋体"/>
                <w:sz w:val="21"/>
                <w:szCs w:val="21"/>
                <w:highlight w:val="none"/>
                <w:lang w:val="en-US" w:eastAsia="zh-CN"/>
              </w:rPr>
              <w:t>服务</w:t>
            </w:r>
            <w:r>
              <w:rPr>
                <w:rFonts w:hint="eastAsia" w:ascii="宋体" w:hAnsi="宋体" w:eastAsia="宋体" w:cs="宋体"/>
                <w:sz w:val="21"/>
                <w:szCs w:val="21"/>
              </w:rPr>
              <w:t>内容进行中心硬件及平台软件及日常操作等培训。</w:t>
            </w:r>
          </w:p>
          <w:p w14:paraId="5E1608D9">
            <w:pPr>
              <w:spacing w:line="38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内容详尽、合理、逻辑清晰、可行性程度高</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8</w:t>
            </w:r>
            <w:r>
              <w:rPr>
                <w:rFonts w:hint="eastAsia" w:ascii="宋体" w:hAnsi="宋体" w:eastAsia="宋体"/>
                <w:sz w:val="21"/>
                <w:szCs w:val="21"/>
                <w:lang w:eastAsia="zh-CN"/>
              </w:rPr>
              <w:t>分</w:t>
            </w:r>
            <w:r>
              <w:rPr>
                <w:rFonts w:hint="eastAsia" w:ascii="宋体" w:hAnsi="宋体" w:eastAsia="宋体" w:cs="宋体"/>
                <w:sz w:val="21"/>
                <w:szCs w:val="21"/>
              </w:rPr>
              <w:t>；</w:t>
            </w:r>
          </w:p>
          <w:p w14:paraId="6669CCA8">
            <w:pPr>
              <w:spacing w:line="38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培训计划内容详尽、合理、逻辑清晰、可行性程度一般</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5</w:t>
            </w:r>
            <w:r>
              <w:rPr>
                <w:rFonts w:hint="eastAsia" w:ascii="宋体" w:hAnsi="宋体" w:eastAsia="宋体"/>
                <w:sz w:val="21"/>
                <w:szCs w:val="21"/>
                <w:lang w:eastAsia="zh-CN"/>
              </w:rPr>
              <w:t>分</w:t>
            </w:r>
            <w:r>
              <w:rPr>
                <w:rFonts w:hint="eastAsia" w:ascii="宋体" w:hAnsi="宋体" w:eastAsia="宋体" w:cs="宋体"/>
                <w:sz w:val="21"/>
                <w:szCs w:val="21"/>
              </w:rPr>
              <w:t>；</w:t>
            </w:r>
          </w:p>
          <w:p w14:paraId="538054E4">
            <w:pPr>
              <w:spacing w:before="0"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培训计划内容详尽、合理、逻辑清晰、可行性程度差</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2</w:t>
            </w:r>
            <w:r>
              <w:rPr>
                <w:rFonts w:hint="eastAsia" w:ascii="宋体" w:hAnsi="宋体" w:eastAsia="宋体"/>
                <w:sz w:val="21"/>
                <w:szCs w:val="21"/>
                <w:lang w:eastAsia="zh-CN"/>
              </w:rPr>
              <w:t>分</w:t>
            </w:r>
            <w:r>
              <w:rPr>
                <w:rFonts w:hint="eastAsia" w:ascii="宋体" w:hAnsi="宋体" w:eastAsia="宋体" w:cs="宋体"/>
                <w:sz w:val="21"/>
                <w:szCs w:val="21"/>
                <w:lang w:eastAsia="zh-CN"/>
              </w:rPr>
              <w:t>；</w:t>
            </w:r>
          </w:p>
          <w:p w14:paraId="1084FF79">
            <w:pPr>
              <w:spacing w:before="0" w:after="0" w:line="360" w:lineRule="auto"/>
              <w:jc w:val="both"/>
              <w:rPr>
                <w:rFonts w:hint="eastAsia" w:ascii="宋体" w:hAnsi="宋体" w:eastAsia="宋体" w:cs="宋体"/>
                <w:sz w:val="21"/>
                <w:szCs w:val="21"/>
              </w:rPr>
            </w:pPr>
            <w:r>
              <w:rPr>
                <w:rFonts w:hint="eastAsia" w:ascii="宋体" w:hAnsi="宋体" w:eastAsia="宋体" w:cs="宋体"/>
                <w:sz w:val="21"/>
                <w:szCs w:val="21"/>
              </w:rPr>
              <w:t>缺项不得分</w:t>
            </w:r>
            <w:r>
              <w:rPr>
                <w:rFonts w:hint="eastAsia" w:ascii="宋体" w:hAnsi="宋体" w:eastAsia="宋体" w:cs="宋体"/>
                <w:sz w:val="21"/>
                <w:szCs w:val="21"/>
                <w:lang w:eastAsia="zh-CN"/>
              </w:rPr>
              <w:t>。</w:t>
            </w:r>
          </w:p>
        </w:tc>
      </w:tr>
      <w:tr w14:paraId="4F23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43" w:type="dxa"/>
            <w:vMerge w:val="restart"/>
            <w:vAlign w:val="center"/>
          </w:tcPr>
          <w:p w14:paraId="52E7381A">
            <w:pPr>
              <w:spacing w:before="0" w:after="0" w:line="360" w:lineRule="auto"/>
              <w:jc w:val="center"/>
              <w:rPr>
                <w:rFonts w:hint="default" w:ascii="宋体" w:hAnsi="宋体" w:eastAsia="宋体" w:cs="宋体"/>
                <w:b/>
                <w:bCs/>
                <w:sz w:val="24"/>
                <w:lang w:val="en-US" w:eastAsia="zh-CN"/>
              </w:rPr>
            </w:pPr>
            <w:r>
              <w:rPr>
                <w:rFonts w:hint="eastAsia" w:ascii="宋体" w:hAnsi="宋体" w:cs="宋体"/>
                <w:b/>
                <w:bCs/>
                <w:sz w:val="24"/>
                <w:lang w:val="en-US" w:eastAsia="zh-CN"/>
              </w:rPr>
              <w:t>综合部分</w:t>
            </w:r>
          </w:p>
        </w:tc>
        <w:tc>
          <w:tcPr>
            <w:tcW w:w="1091" w:type="dxa"/>
            <w:gridSpan w:val="2"/>
            <w:vMerge w:val="restart"/>
            <w:vAlign w:val="center"/>
          </w:tcPr>
          <w:p w14:paraId="2380FE9D">
            <w:pPr>
              <w:spacing w:before="0" w:after="0" w:line="360" w:lineRule="auto"/>
              <w:jc w:val="center"/>
              <w:rPr>
                <w:rFonts w:hint="default" w:ascii="宋体" w:hAnsi="宋体" w:eastAsia="宋体" w:cs="宋体"/>
                <w:b/>
                <w:bCs/>
                <w:sz w:val="24"/>
                <w:lang w:val="en-US" w:eastAsia="zh-CN"/>
              </w:rPr>
            </w:pPr>
            <w:r>
              <w:rPr>
                <w:rFonts w:hint="eastAsia" w:ascii="宋体" w:hAnsi="宋体" w:cs="宋体"/>
                <w:b/>
                <w:bCs/>
                <w:sz w:val="24"/>
                <w:lang w:val="en-US" w:eastAsia="zh-CN"/>
              </w:rPr>
              <w:t>10分</w:t>
            </w:r>
          </w:p>
        </w:tc>
        <w:tc>
          <w:tcPr>
            <w:tcW w:w="1230" w:type="dxa"/>
            <w:gridSpan w:val="2"/>
            <w:vAlign w:val="center"/>
          </w:tcPr>
          <w:p w14:paraId="3B008F5A">
            <w:pPr>
              <w:spacing w:before="0" w:after="0" w:line="360" w:lineRule="auto"/>
              <w:jc w:val="left"/>
              <w:rPr>
                <w:rFonts w:hint="eastAsia" w:ascii="宋体" w:hAnsi="宋体" w:cs="宋体"/>
                <w:sz w:val="24"/>
              </w:rPr>
            </w:pPr>
            <w:r>
              <w:rPr>
                <w:rFonts w:hint="eastAsia" w:ascii="宋体" w:hAnsi="宋体" w:eastAsia="宋体"/>
                <w:sz w:val="21"/>
                <w:szCs w:val="21"/>
                <w:lang w:eastAsia="zh-CN"/>
              </w:rPr>
              <w:t>售后服务方案（0-</w:t>
            </w:r>
            <w:r>
              <w:rPr>
                <w:rFonts w:hint="eastAsia" w:ascii="宋体" w:hAnsi="宋体"/>
                <w:sz w:val="21"/>
                <w:szCs w:val="21"/>
                <w:lang w:val="en-US" w:eastAsia="zh-CN"/>
              </w:rPr>
              <w:t>5</w:t>
            </w:r>
            <w:r>
              <w:rPr>
                <w:rFonts w:hint="eastAsia" w:ascii="宋体" w:hAnsi="宋体" w:eastAsia="宋体"/>
                <w:sz w:val="21"/>
                <w:szCs w:val="21"/>
                <w:lang w:eastAsia="zh-CN"/>
              </w:rPr>
              <w:t>分）</w:t>
            </w:r>
          </w:p>
        </w:tc>
        <w:tc>
          <w:tcPr>
            <w:tcW w:w="6742" w:type="dxa"/>
            <w:gridSpan w:val="2"/>
            <w:vAlign w:val="center"/>
          </w:tcPr>
          <w:p w14:paraId="4D025E8F">
            <w:pPr>
              <w:pStyle w:val="8"/>
              <w:spacing w:before="0" w:after="0" w:line="360" w:lineRule="auto"/>
              <w:jc w:val="left"/>
              <w:rPr>
                <w:rFonts w:ascii="宋体" w:hAnsi="宋体" w:eastAsia="宋体"/>
                <w:sz w:val="21"/>
                <w:szCs w:val="21"/>
                <w:lang w:eastAsia="zh-CN"/>
              </w:rPr>
            </w:pPr>
            <w:r>
              <w:rPr>
                <w:rFonts w:hint="eastAsia" w:ascii="宋体" w:hAnsi="宋体" w:eastAsia="宋体"/>
                <w:sz w:val="21"/>
                <w:szCs w:val="21"/>
                <w:lang w:eastAsia="zh-CN"/>
              </w:rPr>
              <w:t>对供应商提供售后服务的计划、内容、形式，含免费维修时间、解决质量、响应时间、形式等情况进行评价：</w:t>
            </w:r>
          </w:p>
          <w:p w14:paraId="1ADCE088">
            <w:pPr>
              <w:spacing w:before="0" w:after="0" w:line="360" w:lineRule="auto"/>
              <w:jc w:val="left"/>
              <w:rPr>
                <w:rFonts w:ascii="宋体" w:hAnsi="宋体" w:eastAsia="宋体"/>
                <w:sz w:val="21"/>
                <w:szCs w:val="21"/>
                <w:lang w:eastAsia="zh-CN"/>
              </w:rPr>
            </w:pPr>
            <w:r>
              <w:rPr>
                <w:rFonts w:hint="eastAsia" w:ascii="宋体" w:hAnsi="宋体" w:eastAsia="宋体"/>
                <w:sz w:val="21"/>
                <w:szCs w:val="21"/>
                <w:lang w:eastAsia="zh-CN"/>
              </w:rPr>
              <w:t>方案完整、详实可行、针对性强</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5</w:t>
            </w:r>
            <w:r>
              <w:rPr>
                <w:rFonts w:hint="eastAsia" w:ascii="宋体" w:hAnsi="宋体" w:eastAsia="宋体"/>
                <w:sz w:val="21"/>
                <w:szCs w:val="21"/>
                <w:lang w:eastAsia="zh-CN"/>
              </w:rPr>
              <w:t>分；</w:t>
            </w:r>
          </w:p>
          <w:p w14:paraId="3C49B3BF">
            <w:pPr>
              <w:spacing w:before="0" w:after="0" w:line="360" w:lineRule="auto"/>
              <w:jc w:val="left"/>
              <w:rPr>
                <w:rFonts w:ascii="宋体" w:hAnsi="宋体" w:eastAsia="宋体"/>
                <w:sz w:val="21"/>
                <w:szCs w:val="21"/>
                <w:lang w:eastAsia="zh-CN"/>
              </w:rPr>
            </w:pPr>
            <w:r>
              <w:rPr>
                <w:rFonts w:hint="eastAsia" w:ascii="宋体" w:hAnsi="宋体" w:eastAsia="宋体"/>
                <w:sz w:val="21"/>
                <w:szCs w:val="21"/>
                <w:lang w:eastAsia="zh-CN"/>
              </w:rPr>
              <w:t>方案常规、通用、基本可行</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3</w:t>
            </w:r>
            <w:r>
              <w:rPr>
                <w:rFonts w:hint="eastAsia" w:ascii="宋体" w:hAnsi="宋体" w:eastAsia="宋体"/>
                <w:sz w:val="21"/>
                <w:szCs w:val="21"/>
                <w:lang w:eastAsia="zh-CN"/>
              </w:rPr>
              <w:t>分；</w:t>
            </w:r>
          </w:p>
          <w:p w14:paraId="2EF5AA74">
            <w:pPr>
              <w:spacing w:before="0" w:after="0" w:line="360" w:lineRule="auto"/>
              <w:jc w:val="left"/>
              <w:rPr>
                <w:rFonts w:ascii="宋体" w:hAnsi="宋体" w:eastAsia="宋体"/>
                <w:sz w:val="21"/>
                <w:szCs w:val="21"/>
                <w:lang w:eastAsia="zh-CN"/>
              </w:rPr>
            </w:pPr>
            <w:r>
              <w:rPr>
                <w:rFonts w:hint="eastAsia" w:ascii="宋体" w:hAnsi="宋体" w:eastAsia="宋体"/>
                <w:sz w:val="21"/>
                <w:szCs w:val="21"/>
                <w:lang w:eastAsia="zh-CN"/>
              </w:rPr>
              <w:t>方案存在偏差、可行性差</w:t>
            </w:r>
            <w:r>
              <w:rPr>
                <w:rFonts w:hint="eastAsia" w:ascii="宋体" w:hAnsi="宋体"/>
                <w:sz w:val="21"/>
                <w:szCs w:val="21"/>
                <w:lang w:val="en-US" w:eastAsia="zh-CN"/>
              </w:rPr>
              <w:t>的</w:t>
            </w:r>
            <w:r>
              <w:rPr>
                <w:rFonts w:hint="eastAsia" w:ascii="宋体" w:hAnsi="宋体" w:eastAsia="宋体"/>
                <w:sz w:val="21"/>
                <w:szCs w:val="21"/>
                <w:lang w:eastAsia="zh-CN"/>
              </w:rPr>
              <w:t>得</w:t>
            </w:r>
            <w:r>
              <w:rPr>
                <w:rFonts w:hint="eastAsia" w:ascii="宋体" w:hAnsi="宋体" w:eastAsia="宋体"/>
                <w:sz w:val="21"/>
                <w:szCs w:val="21"/>
                <w:lang w:val="en-US" w:eastAsia="zh-CN"/>
              </w:rPr>
              <w:t>1</w:t>
            </w:r>
            <w:r>
              <w:rPr>
                <w:rFonts w:hint="eastAsia" w:ascii="宋体" w:hAnsi="宋体" w:eastAsia="宋体"/>
                <w:sz w:val="21"/>
                <w:szCs w:val="21"/>
                <w:lang w:eastAsia="zh-CN"/>
              </w:rPr>
              <w:t>分；</w:t>
            </w:r>
          </w:p>
          <w:p w14:paraId="6BD35DF9">
            <w:pPr>
              <w:spacing w:before="0" w:after="0" w:line="360" w:lineRule="auto"/>
              <w:jc w:val="both"/>
              <w:rPr>
                <w:rFonts w:hint="eastAsia" w:ascii="宋体" w:hAnsi="宋体" w:cs="宋体"/>
                <w:sz w:val="24"/>
              </w:rPr>
            </w:pPr>
            <w:r>
              <w:rPr>
                <w:rFonts w:hint="eastAsia" w:ascii="宋体" w:hAnsi="宋体" w:eastAsia="宋体"/>
                <w:sz w:val="21"/>
                <w:szCs w:val="21"/>
                <w:lang w:eastAsia="zh-CN"/>
              </w:rPr>
              <w:t>不提供不得分。</w:t>
            </w:r>
          </w:p>
        </w:tc>
      </w:tr>
      <w:tr w14:paraId="7C85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843" w:type="dxa"/>
            <w:vMerge w:val="continue"/>
            <w:vAlign w:val="center"/>
          </w:tcPr>
          <w:p w14:paraId="132D75BE">
            <w:pPr>
              <w:spacing w:before="0" w:after="0" w:line="360" w:lineRule="auto"/>
              <w:jc w:val="center"/>
              <w:rPr>
                <w:rFonts w:hint="eastAsia" w:ascii="宋体" w:hAnsi="宋体" w:cs="宋体"/>
                <w:b/>
                <w:bCs/>
                <w:sz w:val="24"/>
              </w:rPr>
            </w:pPr>
          </w:p>
        </w:tc>
        <w:tc>
          <w:tcPr>
            <w:tcW w:w="1091" w:type="dxa"/>
            <w:gridSpan w:val="2"/>
            <w:vMerge w:val="continue"/>
            <w:vAlign w:val="center"/>
          </w:tcPr>
          <w:p w14:paraId="407A8DEE">
            <w:pPr>
              <w:spacing w:before="0" w:after="0" w:line="360" w:lineRule="auto"/>
              <w:jc w:val="center"/>
              <w:rPr>
                <w:rFonts w:hint="eastAsia" w:ascii="宋体" w:hAnsi="宋体" w:cs="宋体"/>
                <w:b/>
                <w:bCs/>
                <w:sz w:val="24"/>
              </w:rPr>
            </w:pPr>
          </w:p>
        </w:tc>
        <w:tc>
          <w:tcPr>
            <w:tcW w:w="1230" w:type="dxa"/>
            <w:gridSpan w:val="2"/>
            <w:vAlign w:val="center"/>
          </w:tcPr>
          <w:p w14:paraId="23EEF655">
            <w:pPr>
              <w:spacing w:before="0" w:after="0" w:line="360" w:lineRule="auto"/>
              <w:jc w:val="left"/>
              <w:rPr>
                <w:rFonts w:ascii="宋体" w:hAnsi="宋体" w:eastAsia="宋体"/>
                <w:sz w:val="21"/>
                <w:szCs w:val="21"/>
                <w:lang w:eastAsia="zh-CN"/>
              </w:rPr>
            </w:pPr>
            <w:r>
              <w:rPr>
                <w:rFonts w:hint="eastAsia" w:ascii="宋体" w:hAnsi="宋体" w:eastAsia="宋体"/>
                <w:sz w:val="21"/>
                <w:szCs w:val="21"/>
                <w:lang w:eastAsia="zh-CN"/>
              </w:rPr>
              <w:t>服务承诺</w:t>
            </w:r>
          </w:p>
          <w:p w14:paraId="159E47D7">
            <w:pPr>
              <w:spacing w:before="0" w:after="0" w:line="360" w:lineRule="auto"/>
              <w:jc w:val="left"/>
              <w:rPr>
                <w:rFonts w:hint="eastAsia" w:ascii="宋体" w:hAnsi="宋体" w:cs="宋体"/>
                <w:sz w:val="24"/>
              </w:rPr>
            </w:pPr>
            <w:r>
              <w:rPr>
                <w:rFonts w:hint="eastAsia" w:ascii="宋体" w:hAnsi="宋体" w:eastAsia="宋体"/>
                <w:sz w:val="21"/>
                <w:szCs w:val="21"/>
                <w:lang w:eastAsia="zh-CN"/>
              </w:rPr>
              <w:t>（0-5分）</w:t>
            </w:r>
          </w:p>
        </w:tc>
        <w:tc>
          <w:tcPr>
            <w:tcW w:w="6742" w:type="dxa"/>
            <w:gridSpan w:val="2"/>
            <w:vAlign w:val="center"/>
          </w:tcPr>
          <w:p w14:paraId="26D47691">
            <w:pPr>
              <w:spacing w:before="0" w:after="0" w:line="360" w:lineRule="auto"/>
              <w:jc w:val="left"/>
              <w:rPr>
                <w:rFonts w:hint="eastAsia" w:ascii="宋体" w:hAnsi="宋体" w:cs="宋体"/>
                <w:sz w:val="24"/>
              </w:rPr>
            </w:pPr>
            <w:r>
              <w:rPr>
                <w:rFonts w:hint="eastAsia" w:ascii="宋体" w:hAnsi="宋体" w:eastAsia="宋体"/>
                <w:sz w:val="21"/>
                <w:szCs w:val="21"/>
                <w:lang w:eastAsia="zh-CN"/>
              </w:rPr>
              <w:t>根据供应商提供的包括但不仅限于质保期内的服务承诺，其他优惠条件及承诺，如免费提供工具，增加配套附件数量，零配件价格折扣等进行横向对比进行打分（0-5分）。</w:t>
            </w:r>
          </w:p>
        </w:tc>
      </w:tr>
    </w:tbl>
    <w:p w14:paraId="7D7BE073">
      <w:pPr>
        <w:spacing w:line="360" w:lineRule="auto"/>
        <w:ind w:firstLine="422" w:firstLineChars="200"/>
        <w:outlineLvl w:val="1"/>
        <w:rPr>
          <w:rFonts w:ascii="宋体" w:hAnsi="宋体" w:cs="宋体"/>
          <w:b/>
          <w:sz w:val="21"/>
          <w:szCs w:val="21"/>
        </w:rPr>
      </w:pPr>
      <w:r>
        <w:rPr>
          <w:rFonts w:hint="eastAsia" w:ascii="宋体" w:hAnsi="宋体" w:cs="宋体"/>
          <w:b/>
          <w:sz w:val="21"/>
          <w:szCs w:val="21"/>
        </w:rPr>
        <w:t>1. 评标方法</w:t>
      </w:r>
      <w:bookmarkEnd w:id="198"/>
      <w:bookmarkEnd w:id="199"/>
      <w:bookmarkEnd w:id="200"/>
      <w:bookmarkEnd w:id="201"/>
      <w:bookmarkEnd w:id="202"/>
    </w:p>
    <w:p w14:paraId="2A4681FE">
      <w:pPr>
        <w:spacing w:line="360" w:lineRule="auto"/>
        <w:ind w:firstLine="420" w:firstLineChars="200"/>
        <w:rPr>
          <w:rFonts w:ascii="宋体" w:hAnsi="宋体" w:cs="宋体"/>
          <w:sz w:val="21"/>
          <w:szCs w:val="21"/>
        </w:rPr>
      </w:pPr>
      <w:r>
        <w:rPr>
          <w:rFonts w:hint="eastAsia" w:ascii="宋体" w:hAnsi="宋体" w:cs="宋体"/>
          <w:sz w:val="21"/>
          <w:szCs w:val="21"/>
        </w:rPr>
        <w:t>本次评标采用综合评估法。评标委员会对满足招标文件实质性要求的投标文件，按照本章</w:t>
      </w:r>
      <w:r>
        <w:rPr>
          <w:rFonts w:hint="eastAsia" w:ascii="宋体" w:hAnsi="宋体" w:cs="宋体"/>
          <w:sz w:val="21"/>
          <w:szCs w:val="21"/>
          <w:lang w:val="en-US" w:eastAsia="zh-CN"/>
        </w:rPr>
        <w:t>有关</w:t>
      </w:r>
      <w:r>
        <w:rPr>
          <w:rFonts w:hint="eastAsia" w:ascii="宋体" w:hAnsi="宋体" w:cs="宋体"/>
          <w:sz w:val="21"/>
          <w:szCs w:val="21"/>
        </w:rPr>
        <w:t>款规定的评分标准进行打分，并按得分由高到低顺序推荐中标候选人，或根据采购人授权直接确定中标人，但投标总报价低于其成本的除外。综合评分相等时，以投标总报价低的优先；投标报价也相等的，由采购人自行确定。</w:t>
      </w:r>
    </w:p>
    <w:p w14:paraId="6D54824F">
      <w:pPr>
        <w:spacing w:line="360" w:lineRule="auto"/>
        <w:ind w:firstLine="422" w:firstLineChars="200"/>
        <w:outlineLvl w:val="1"/>
        <w:rPr>
          <w:rFonts w:ascii="宋体" w:hAnsi="宋体" w:cs="宋体"/>
          <w:b/>
          <w:sz w:val="21"/>
          <w:szCs w:val="21"/>
        </w:rPr>
      </w:pPr>
      <w:bookmarkStart w:id="203" w:name="_Toc358873696"/>
      <w:bookmarkStart w:id="204" w:name="_Toc144974568"/>
      <w:bookmarkStart w:id="205" w:name="_Toc152042378"/>
      <w:bookmarkStart w:id="206" w:name="_Toc152045601"/>
      <w:bookmarkStart w:id="207" w:name="_Toc179632619"/>
      <w:r>
        <w:rPr>
          <w:rFonts w:hint="eastAsia" w:ascii="宋体" w:hAnsi="宋体" w:cs="宋体"/>
          <w:b/>
          <w:sz w:val="21"/>
          <w:szCs w:val="21"/>
        </w:rPr>
        <w:t>2. 评审标准</w:t>
      </w:r>
      <w:bookmarkEnd w:id="203"/>
      <w:bookmarkEnd w:id="204"/>
      <w:bookmarkEnd w:id="205"/>
      <w:bookmarkEnd w:id="206"/>
      <w:bookmarkEnd w:id="207"/>
    </w:p>
    <w:p w14:paraId="35F4D70A">
      <w:pPr>
        <w:spacing w:line="360" w:lineRule="auto"/>
        <w:ind w:firstLine="422" w:firstLineChars="200"/>
        <w:outlineLvl w:val="2"/>
        <w:rPr>
          <w:rFonts w:ascii="宋体" w:hAnsi="宋体" w:cs="宋体"/>
          <w:b/>
          <w:sz w:val="21"/>
          <w:szCs w:val="21"/>
        </w:rPr>
      </w:pPr>
      <w:bookmarkStart w:id="208" w:name="_Toc144974569"/>
      <w:bookmarkStart w:id="209" w:name="_Toc152045602"/>
      <w:bookmarkStart w:id="210" w:name="_Toc179632620"/>
      <w:bookmarkStart w:id="211" w:name="_Toc358873697"/>
      <w:bookmarkStart w:id="212" w:name="_Toc152042379"/>
      <w:r>
        <w:rPr>
          <w:rFonts w:hint="eastAsia" w:ascii="宋体" w:hAnsi="宋体" w:cs="宋体"/>
          <w:b/>
          <w:sz w:val="21"/>
          <w:szCs w:val="21"/>
        </w:rPr>
        <w:t>2.1 初步评审标准</w:t>
      </w:r>
      <w:bookmarkEnd w:id="208"/>
      <w:bookmarkEnd w:id="209"/>
      <w:bookmarkEnd w:id="210"/>
      <w:bookmarkEnd w:id="211"/>
      <w:bookmarkEnd w:id="212"/>
    </w:p>
    <w:p w14:paraId="4B2203F1">
      <w:pPr>
        <w:spacing w:line="360" w:lineRule="auto"/>
        <w:ind w:firstLine="420" w:firstLineChars="200"/>
        <w:rPr>
          <w:rFonts w:ascii="宋体" w:hAnsi="宋体" w:cs="宋体"/>
          <w:sz w:val="21"/>
          <w:szCs w:val="21"/>
        </w:rPr>
      </w:pPr>
      <w:r>
        <w:rPr>
          <w:rFonts w:hint="eastAsia" w:ascii="宋体" w:hAnsi="宋体" w:cs="宋体"/>
          <w:sz w:val="21"/>
          <w:szCs w:val="21"/>
        </w:rPr>
        <w:t>2.1.1 形式评审标准：见评标办法前附表。</w:t>
      </w:r>
    </w:p>
    <w:p w14:paraId="264BAF4E">
      <w:pPr>
        <w:spacing w:line="360" w:lineRule="auto"/>
        <w:ind w:firstLine="420" w:firstLineChars="200"/>
        <w:rPr>
          <w:rFonts w:ascii="宋体" w:hAnsi="宋体" w:cs="宋体"/>
          <w:sz w:val="21"/>
          <w:szCs w:val="21"/>
        </w:rPr>
      </w:pPr>
      <w:r>
        <w:rPr>
          <w:rFonts w:hint="eastAsia" w:ascii="宋体" w:hAnsi="宋体" w:cs="宋体"/>
          <w:sz w:val="21"/>
          <w:szCs w:val="21"/>
        </w:rPr>
        <w:t>2.1.2 资格评审标准：见评标办法前附表。</w:t>
      </w:r>
    </w:p>
    <w:p w14:paraId="2B755395">
      <w:pPr>
        <w:spacing w:line="360" w:lineRule="auto"/>
        <w:ind w:firstLine="420" w:firstLineChars="200"/>
        <w:rPr>
          <w:rFonts w:ascii="宋体" w:hAnsi="宋体" w:cs="宋体"/>
          <w:sz w:val="21"/>
          <w:szCs w:val="21"/>
        </w:rPr>
      </w:pPr>
      <w:r>
        <w:rPr>
          <w:rFonts w:hint="eastAsia" w:ascii="宋体" w:hAnsi="宋体" w:cs="宋体"/>
          <w:sz w:val="21"/>
          <w:szCs w:val="21"/>
        </w:rPr>
        <w:t>2.1.3响应性评审标准：见评标办法前附表。</w:t>
      </w:r>
    </w:p>
    <w:p w14:paraId="39FB9007">
      <w:pPr>
        <w:spacing w:line="360" w:lineRule="auto"/>
        <w:ind w:firstLine="422" w:firstLineChars="200"/>
        <w:outlineLvl w:val="2"/>
        <w:rPr>
          <w:rFonts w:ascii="宋体" w:hAnsi="宋体" w:cs="宋体"/>
          <w:b/>
          <w:sz w:val="21"/>
          <w:szCs w:val="21"/>
        </w:rPr>
      </w:pPr>
      <w:bookmarkStart w:id="213" w:name="_Toc144974570"/>
      <w:bookmarkStart w:id="214" w:name="_Toc152045603"/>
      <w:bookmarkStart w:id="215" w:name="_Toc152042380"/>
      <w:bookmarkStart w:id="216" w:name="_Toc179632621"/>
      <w:bookmarkStart w:id="217" w:name="_Toc358873698"/>
      <w:r>
        <w:rPr>
          <w:rFonts w:hint="eastAsia" w:ascii="宋体" w:hAnsi="宋体" w:cs="宋体"/>
          <w:b/>
          <w:sz w:val="21"/>
          <w:szCs w:val="21"/>
        </w:rPr>
        <w:t>2.2 分值构成与评分标准</w:t>
      </w:r>
      <w:bookmarkEnd w:id="213"/>
      <w:bookmarkEnd w:id="214"/>
      <w:bookmarkEnd w:id="215"/>
      <w:bookmarkEnd w:id="216"/>
      <w:bookmarkEnd w:id="217"/>
    </w:p>
    <w:p w14:paraId="61A2E2DB">
      <w:pPr>
        <w:spacing w:line="360" w:lineRule="auto"/>
        <w:ind w:firstLine="420" w:firstLineChars="200"/>
        <w:rPr>
          <w:rFonts w:ascii="宋体" w:hAnsi="宋体" w:cs="宋体"/>
          <w:sz w:val="21"/>
          <w:szCs w:val="21"/>
        </w:rPr>
      </w:pPr>
      <w:r>
        <w:rPr>
          <w:rFonts w:hint="eastAsia" w:ascii="宋体" w:hAnsi="宋体" w:cs="宋体"/>
          <w:sz w:val="21"/>
          <w:szCs w:val="21"/>
        </w:rPr>
        <w:t>2.2.1 分值构成</w:t>
      </w:r>
    </w:p>
    <w:p w14:paraId="48FFABBC">
      <w:pPr>
        <w:spacing w:line="360" w:lineRule="auto"/>
        <w:ind w:firstLine="420" w:firstLineChars="200"/>
        <w:rPr>
          <w:rFonts w:ascii="宋体" w:hAnsi="宋体" w:cs="宋体"/>
          <w:sz w:val="21"/>
          <w:szCs w:val="21"/>
        </w:rPr>
      </w:pPr>
      <w:r>
        <w:rPr>
          <w:rFonts w:hint="eastAsia" w:ascii="宋体" w:hAnsi="宋体" w:cs="宋体"/>
          <w:sz w:val="21"/>
          <w:szCs w:val="21"/>
        </w:rPr>
        <w:t>（1）技术标：见评标办法前附表；</w:t>
      </w:r>
    </w:p>
    <w:p w14:paraId="65FE7129">
      <w:pPr>
        <w:spacing w:line="360" w:lineRule="auto"/>
        <w:ind w:firstLine="420" w:firstLineChars="200"/>
        <w:rPr>
          <w:rFonts w:ascii="宋体" w:hAnsi="宋体" w:cs="宋体"/>
          <w:sz w:val="21"/>
          <w:szCs w:val="21"/>
        </w:rPr>
      </w:pPr>
      <w:r>
        <w:rPr>
          <w:rFonts w:hint="eastAsia" w:ascii="宋体" w:hAnsi="宋体" w:cs="宋体"/>
          <w:sz w:val="21"/>
          <w:szCs w:val="21"/>
        </w:rPr>
        <w:t>（2）综合标：见评标办法前附表；</w:t>
      </w:r>
    </w:p>
    <w:p w14:paraId="180B6E9B">
      <w:pPr>
        <w:spacing w:line="360" w:lineRule="auto"/>
        <w:ind w:firstLine="420" w:firstLineChars="200"/>
        <w:rPr>
          <w:rFonts w:ascii="宋体" w:hAnsi="宋体" w:cs="宋体"/>
          <w:sz w:val="21"/>
          <w:szCs w:val="21"/>
        </w:rPr>
      </w:pPr>
      <w:r>
        <w:rPr>
          <w:rFonts w:hint="eastAsia" w:ascii="宋体" w:hAnsi="宋体" w:cs="宋体"/>
          <w:sz w:val="21"/>
          <w:szCs w:val="21"/>
        </w:rPr>
        <w:t>（3）商务标：见评标办法前附表；</w:t>
      </w:r>
    </w:p>
    <w:p w14:paraId="7D8BC0F2">
      <w:pPr>
        <w:spacing w:line="360" w:lineRule="auto"/>
        <w:ind w:firstLine="420" w:firstLineChars="200"/>
        <w:rPr>
          <w:rFonts w:ascii="宋体" w:hAnsi="宋体" w:cs="宋体"/>
          <w:sz w:val="21"/>
          <w:szCs w:val="21"/>
        </w:rPr>
      </w:pPr>
      <w:r>
        <w:rPr>
          <w:rFonts w:hint="eastAsia" w:ascii="宋体" w:hAnsi="宋体" w:cs="宋体"/>
          <w:sz w:val="21"/>
          <w:szCs w:val="21"/>
        </w:rPr>
        <w:t>2.2.2 评标基准价计算</w:t>
      </w:r>
    </w:p>
    <w:p w14:paraId="6DF90C8B">
      <w:pPr>
        <w:spacing w:line="360" w:lineRule="auto"/>
        <w:ind w:firstLine="420" w:firstLineChars="200"/>
        <w:rPr>
          <w:rFonts w:ascii="宋体" w:hAnsi="宋体" w:cs="宋体"/>
          <w:sz w:val="21"/>
          <w:szCs w:val="21"/>
        </w:rPr>
      </w:pPr>
      <w:r>
        <w:rPr>
          <w:rFonts w:hint="eastAsia" w:ascii="宋体" w:hAnsi="宋体" w:cs="宋体"/>
          <w:sz w:val="21"/>
          <w:szCs w:val="21"/>
        </w:rPr>
        <w:t>评标基准价计算方法：见评标办法前附表。</w:t>
      </w:r>
    </w:p>
    <w:p w14:paraId="56C6F9DE">
      <w:pPr>
        <w:spacing w:line="360" w:lineRule="auto"/>
        <w:ind w:firstLine="420" w:firstLineChars="200"/>
        <w:rPr>
          <w:rFonts w:ascii="宋体" w:hAnsi="宋体" w:cs="宋体"/>
          <w:sz w:val="21"/>
          <w:szCs w:val="21"/>
        </w:rPr>
      </w:pPr>
      <w:r>
        <w:rPr>
          <w:rFonts w:hint="eastAsia" w:ascii="宋体" w:hAnsi="宋体" w:cs="宋体"/>
          <w:sz w:val="21"/>
          <w:szCs w:val="21"/>
        </w:rPr>
        <w:t>2.2.3 评分标准</w:t>
      </w:r>
    </w:p>
    <w:p w14:paraId="6EBA15FC">
      <w:pPr>
        <w:spacing w:line="360" w:lineRule="auto"/>
        <w:ind w:firstLine="420" w:firstLineChars="200"/>
        <w:rPr>
          <w:rFonts w:ascii="宋体" w:hAnsi="宋体" w:cs="宋体"/>
          <w:sz w:val="21"/>
          <w:szCs w:val="21"/>
        </w:rPr>
      </w:pPr>
      <w:r>
        <w:rPr>
          <w:rFonts w:hint="eastAsia" w:ascii="宋体" w:hAnsi="宋体" w:cs="宋体"/>
          <w:sz w:val="21"/>
          <w:szCs w:val="21"/>
        </w:rPr>
        <w:t>（1）技术标评分标准：见评标办法前附表；</w:t>
      </w:r>
    </w:p>
    <w:p w14:paraId="230AAF89">
      <w:pPr>
        <w:spacing w:line="360" w:lineRule="auto"/>
        <w:ind w:firstLine="420" w:firstLineChars="200"/>
        <w:rPr>
          <w:rFonts w:ascii="宋体" w:hAnsi="宋体" w:cs="宋体"/>
          <w:sz w:val="21"/>
          <w:szCs w:val="21"/>
        </w:rPr>
      </w:pPr>
      <w:r>
        <w:rPr>
          <w:rFonts w:hint="eastAsia" w:ascii="宋体" w:hAnsi="宋体" w:cs="宋体"/>
          <w:sz w:val="21"/>
          <w:szCs w:val="21"/>
        </w:rPr>
        <w:t>（2）综合标评分标准：见评标办法前附表；</w:t>
      </w:r>
    </w:p>
    <w:p w14:paraId="2FF39369">
      <w:pPr>
        <w:spacing w:line="360" w:lineRule="auto"/>
        <w:ind w:firstLine="420" w:firstLineChars="200"/>
        <w:rPr>
          <w:rFonts w:ascii="宋体" w:hAnsi="宋体" w:cs="宋体"/>
          <w:sz w:val="21"/>
          <w:szCs w:val="21"/>
        </w:rPr>
      </w:pPr>
      <w:r>
        <w:rPr>
          <w:rFonts w:hint="eastAsia" w:ascii="宋体" w:hAnsi="宋体" w:cs="宋体"/>
          <w:sz w:val="21"/>
          <w:szCs w:val="21"/>
        </w:rPr>
        <w:t>（3）商务标评分标准：见评标办法前附表；</w:t>
      </w:r>
    </w:p>
    <w:p w14:paraId="4229A638">
      <w:pPr>
        <w:spacing w:line="360" w:lineRule="auto"/>
        <w:ind w:left="420" w:firstLine="2"/>
        <w:outlineLvl w:val="1"/>
        <w:rPr>
          <w:rFonts w:ascii="宋体" w:hAnsi="宋体" w:cs="宋体"/>
          <w:b/>
          <w:sz w:val="21"/>
          <w:szCs w:val="21"/>
        </w:rPr>
      </w:pPr>
      <w:bookmarkStart w:id="218" w:name="_Toc179632622"/>
      <w:bookmarkStart w:id="219" w:name="_Toc358873699"/>
      <w:bookmarkStart w:id="220" w:name="_Toc144974571"/>
      <w:bookmarkStart w:id="221" w:name="_Toc152045604"/>
      <w:bookmarkStart w:id="222" w:name="_Toc152042381"/>
      <w:r>
        <w:rPr>
          <w:rFonts w:hint="eastAsia" w:ascii="宋体" w:hAnsi="宋体" w:cs="宋体"/>
          <w:b/>
          <w:sz w:val="21"/>
          <w:szCs w:val="21"/>
        </w:rPr>
        <w:t>3. 评标程序</w:t>
      </w:r>
      <w:bookmarkEnd w:id="218"/>
      <w:bookmarkEnd w:id="219"/>
      <w:bookmarkEnd w:id="220"/>
      <w:bookmarkEnd w:id="221"/>
      <w:bookmarkEnd w:id="222"/>
    </w:p>
    <w:p w14:paraId="46804AF1">
      <w:pPr>
        <w:spacing w:line="360" w:lineRule="auto"/>
        <w:ind w:firstLine="422" w:firstLineChars="200"/>
        <w:outlineLvl w:val="2"/>
        <w:rPr>
          <w:rFonts w:ascii="宋体" w:hAnsi="宋体" w:cs="宋体"/>
          <w:b/>
          <w:sz w:val="21"/>
          <w:szCs w:val="21"/>
        </w:rPr>
      </w:pPr>
      <w:bookmarkStart w:id="223" w:name="_Toc144974572"/>
      <w:bookmarkStart w:id="224" w:name="_Toc152045605"/>
      <w:bookmarkStart w:id="225" w:name="_Toc152042382"/>
      <w:bookmarkStart w:id="226" w:name="_Toc179632623"/>
      <w:bookmarkStart w:id="227" w:name="_Toc358873700"/>
      <w:r>
        <w:rPr>
          <w:rFonts w:hint="eastAsia" w:ascii="宋体" w:hAnsi="宋体" w:cs="宋体"/>
          <w:b/>
          <w:sz w:val="21"/>
          <w:szCs w:val="21"/>
        </w:rPr>
        <w:t>3.1 初步评审</w:t>
      </w:r>
      <w:bookmarkEnd w:id="223"/>
      <w:bookmarkEnd w:id="224"/>
      <w:bookmarkEnd w:id="225"/>
      <w:bookmarkEnd w:id="226"/>
      <w:bookmarkEnd w:id="227"/>
    </w:p>
    <w:p w14:paraId="57C07534">
      <w:pPr>
        <w:spacing w:line="360" w:lineRule="auto"/>
        <w:ind w:firstLine="420" w:firstLineChars="200"/>
        <w:rPr>
          <w:rFonts w:ascii="宋体" w:hAnsi="宋体" w:cs="宋体"/>
          <w:sz w:val="21"/>
          <w:szCs w:val="21"/>
        </w:rPr>
      </w:pPr>
      <w:r>
        <w:rPr>
          <w:rFonts w:hint="eastAsia" w:ascii="宋体" w:hAnsi="宋体" w:cs="宋体"/>
          <w:sz w:val="21"/>
          <w:szCs w:val="21"/>
        </w:rPr>
        <w:t>3.1.1 评标委员会依据本章第2.1款规定的标准对投标文件进行初步评审。有一项不符合评审标准的，作无效标处理。</w:t>
      </w:r>
    </w:p>
    <w:p w14:paraId="443FA179">
      <w:pPr>
        <w:spacing w:line="360" w:lineRule="auto"/>
        <w:ind w:firstLine="420" w:firstLineChars="200"/>
        <w:rPr>
          <w:rFonts w:ascii="宋体" w:hAnsi="宋体" w:cs="宋体"/>
          <w:sz w:val="21"/>
          <w:szCs w:val="21"/>
        </w:rPr>
      </w:pPr>
      <w:r>
        <w:rPr>
          <w:rFonts w:hint="eastAsia" w:ascii="宋体" w:hAnsi="宋体" w:cs="宋体"/>
          <w:sz w:val="21"/>
          <w:szCs w:val="21"/>
        </w:rPr>
        <w:t>3.1.2 投标人有以下情形之一的，其投标作无效标处理：</w:t>
      </w:r>
    </w:p>
    <w:p w14:paraId="2ECC9C86">
      <w:pPr>
        <w:spacing w:line="360" w:lineRule="auto"/>
        <w:ind w:firstLine="420" w:firstLineChars="200"/>
        <w:rPr>
          <w:rFonts w:ascii="宋体" w:hAnsi="宋体" w:cs="宋体"/>
          <w:sz w:val="21"/>
          <w:szCs w:val="21"/>
        </w:rPr>
      </w:pPr>
      <w:r>
        <w:rPr>
          <w:rFonts w:hint="eastAsia" w:ascii="宋体" w:hAnsi="宋体" w:cs="宋体"/>
          <w:sz w:val="21"/>
          <w:szCs w:val="21"/>
        </w:rPr>
        <w:t>（1）第二章“投标人须知”第1.4.3项规定的任何一种情形的；</w:t>
      </w:r>
    </w:p>
    <w:p w14:paraId="30A66CDA">
      <w:pPr>
        <w:spacing w:line="360" w:lineRule="auto"/>
        <w:ind w:firstLine="420" w:firstLineChars="200"/>
        <w:rPr>
          <w:rFonts w:ascii="宋体" w:hAnsi="宋体" w:cs="宋体"/>
          <w:sz w:val="21"/>
          <w:szCs w:val="21"/>
        </w:rPr>
      </w:pPr>
      <w:r>
        <w:rPr>
          <w:rFonts w:hint="eastAsia" w:ascii="宋体" w:hAnsi="宋体" w:cs="宋体"/>
          <w:sz w:val="21"/>
          <w:szCs w:val="21"/>
        </w:rPr>
        <w:t>（2）串通投标或弄虚作假或有其他违法行为的；</w:t>
      </w:r>
    </w:p>
    <w:p w14:paraId="38DF6AC4">
      <w:pPr>
        <w:spacing w:line="360" w:lineRule="auto"/>
        <w:ind w:firstLine="420" w:firstLineChars="200"/>
        <w:rPr>
          <w:rFonts w:ascii="宋体" w:hAnsi="宋体" w:cs="宋体"/>
          <w:sz w:val="21"/>
          <w:szCs w:val="21"/>
        </w:rPr>
      </w:pPr>
      <w:r>
        <w:rPr>
          <w:rFonts w:hint="eastAsia" w:ascii="宋体" w:hAnsi="宋体" w:cs="宋体"/>
          <w:sz w:val="21"/>
          <w:szCs w:val="21"/>
        </w:rPr>
        <w:t>（3）不按评标委员会要求澄清、说明或补正的。</w:t>
      </w:r>
    </w:p>
    <w:p w14:paraId="7754CD39">
      <w:pPr>
        <w:spacing w:line="360" w:lineRule="auto"/>
        <w:ind w:firstLine="420" w:firstLineChars="200"/>
        <w:rPr>
          <w:rFonts w:ascii="宋体" w:hAnsi="宋体" w:cs="宋体"/>
          <w:sz w:val="21"/>
          <w:szCs w:val="21"/>
        </w:rPr>
      </w:pPr>
      <w:r>
        <w:rPr>
          <w:rFonts w:hint="eastAsia" w:ascii="宋体" w:hAnsi="宋体" w:cs="宋体"/>
          <w:sz w:val="21"/>
          <w:szCs w:val="21"/>
        </w:rPr>
        <w:t>3.1.3投标报价有算术错误的，评标委员会按以下原则对投标报价进行修正，修正的价格经投标人书面确认后具有约束力。投标人不接受修正价格的，其投标作无效标处理。</w:t>
      </w:r>
    </w:p>
    <w:p w14:paraId="53CCBD0A">
      <w:pPr>
        <w:spacing w:line="360" w:lineRule="auto"/>
        <w:ind w:firstLine="420" w:firstLineChars="200"/>
        <w:rPr>
          <w:rFonts w:ascii="宋体" w:hAnsi="宋体" w:cs="宋体"/>
          <w:sz w:val="21"/>
          <w:szCs w:val="21"/>
        </w:rPr>
      </w:pPr>
      <w:bookmarkStart w:id="228" w:name="_Toc152042383"/>
      <w:r>
        <w:rPr>
          <w:rFonts w:hint="eastAsia" w:ascii="宋体" w:hAnsi="宋体" w:cs="宋体"/>
          <w:sz w:val="21"/>
          <w:szCs w:val="21"/>
        </w:rPr>
        <w:t>（1）投标文件中的大写金额与小写金额不一致的，以大写金额为准；</w:t>
      </w:r>
      <w:bookmarkEnd w:id="228"/>
    </w:p>
    <w:p w14:paraId="7F132D04">
      <w:pPr>
        <w:spacing w:line="360" w:lineRule="auto"/>
        <w:ind w:firstLine="420" w:firstLineChars="200"/>
        <w:rPr>
          <w:rFonts w:ascii="宋体" w:hAnsi="宋体" w:cs="宋体"/>
          <w:sz w:val="21"/>
          <w:szCs w:val="21"/>
        </w:rPr>
      </w:pPr>
      <w:r>
        <w:rPr>
          <w:rFonts w:hint="eastAsia" w:ascii="宋体" w:hAnsi="宋体" w:cs="宋体"/>
          <w:sz w:val="21"/>
          <w:szCs w:val="21"/>
        </w:rPr>
        <w:t>（2）总价金额与依据单价计算出的结果不一致的，以单价金额为准修正总价，但单价金额小数点有明显错误的除外。</w:t>
      </w:r>
    </w:p>
    <w:p w14:paraId="69BD1C84">
      <w:pPr>
        <w:spacing w:line="360" w:lineRule="auto"/>
        <w:ind w:firstLine="422" w:firstLineChars="200"/>
        <w:outlineLvl w:val="2"/>
        <w:rPr>
          <w:rFonts w:ascii="宋体" w:hAnsi="宋体" w:cs="宋体"/>
          <w:b/>
          <w:sz w:val="21"/>
          <w:szCs w:val="21"/>
        </w:rPr>
      </w:pPr>
      <w:bookmarkStart w:id="229" w:name="_Toc179632624"/>
      <w:bookmarkStart w:id="230" w:name="_Toc152045606"/>
      <w:bookmarkStart w:id="231" w:name="_Toc358873701"/>
      <w:bookmarkStart w:id="232" w:name="_Toc144974573"/>
      <w:bookmarkStart w:id="233" w:name="_Toc152042384"/>
      <w:r>
        <w:rPr>
          <w:rFonts w:hint="eastAsia" w:ascii="宋体" w:hAnsi="宋体" w:cs="宋体"/>
          <w:b/>
          <w:sz w:val="21"/>
          <w:szCs w:val="21"/>
        </w:rPr>
        <w:t>3.2 详细评审</w:t>
      </w:r>
      <w:bookmarkEnd w:id="229"/>
      <w:bookmarkEnd w:id="230"/>
      <w:bookmarkEnd w:id="231"/>
      <w:bookmarkEnd w:id="232"/>
      <w:bookmarkEnd w:id="233"/>
    </w:p>
    <w:p w14:paraId="17E14545">
      <w:pPr>
        <w:spacing w:line="360" w:lineRule="auto"/>
        <w:ind w:firstLine="420" w:firstLineChars="200"/>
        <w:rPr>
          <w:rFonts w:ascii="宋体" w:hAnsi="宋体" w:cs="宋体"/>
          <w:sz w:val="21"/>
          <w:szCs w:val="21"/>
        </w:rPr>
      </w:pPr>
      <w:r>
        <w:rPr>
          <w:rFonts w:hint="eastAsia" w:ascii="宋体" w:hAnsi="宋体" w:cs="宋体"/>
          <w:sz w:val="21"/>
          <w:szCs w:val="21"/>
        </w:rPr>
        <w:t>3.2.1 评标委员会按本章</w:t>
      </w:r>
      <w:r>
        <w:rPr>
          <w:rFonts w:hint="eastAsia" w:ascii="宋体" w:hAnsi="宋体" w:cs="宋体"/>
          <w:sz w:val="21"/>
          <w:szCs w:val="21"/>
          <w:lang w:val="en-US" w:eastAsia="zh-CN"/>
        </w:rPr>
        <w:t>有关</w:t>
      </w:r>
      <w:r>
        <w:rPr>
          <w:rFonts w:hint="eastAsia" w:ascii="宋体" w:hAnsi="宋体" w:cs="宋体"/>
          <w:sz w:val="21"/>
          <w:szCs w:val="21"/>
        </w:rPr>
        <w:t>款</w:t>
      </w:r>
      <w:r>
        <w:rPr>
          <w:rFonts w:hint="eastAsia" w:ascii="宋体" w:hAnsi="宋体" w:cs="宋体"/>
          <w:sz w:val="21"/>
          <w:szCs w:val="21"/>
          <w:lang w:val="en-US" w:eastAsia="zh-CN"/>
        </w:rPr>
        <w:t>项</w:t>
      </w:r>
      <w:r>
        <w:rPr>
          <w:rFonts w:hint="eastAsia" w:ascii="宋体" w:hAnsi="宋体" w:cs="宋体"/>
          <w:sz w:val="21"/>
          <w:szCs w:val="21"/>
        </w:rPr>
        <w:t>规定的量化因素和分值进行打分，并计算出综合评估得分。</w:t>
      </w:r>
    </w:p>
    <w:p w14:paraId="2D6382FE">
      <w:pPr>
        <w:spacing w:line="360" w:lineRule="auto"/>
        <w:ind w:firstLine="420" w:firstLineChars="200"/>
        <w:rPr>
          <w:rFonts w:ascii="宋体" w:hAnsi="宋体" w:cs="宋体"/>
          <w:sz w:val="21"/>
          <w:szCs w:val="21"/>
        </w:rPr>
      </w:pPr>
      <w:r>
        <w:rPr>
          <w:rFonts w:hint="eastAsia" w:ascii="宋体" w:hAnsi="宋体" w:cs="宋体"/>
          <w:sz w:val="21"/>
          <w:szCs w:val="21"/>
        </w:rPr>
        <w:t>（1）按本章</w:t>
      </w:r>
      <w:r>
        <w:rPr>
          <w:rFonts w:hint="eastAsia" w:ascii="宋体" w:hAnsi="宋体" w:cs="宋体"/>
          <w:sz w:val="21"/>
          <w:szCs w:val="21"/>
          <w:lang w:val="en-US" w:eastAsia="zh-CN"/>
        </w:rPr>
        <w:t>有关</w:t>
      </w:r>
      <w:r>
        <w:rPr>
          <w:rFonts w:hint="eastAsia" w:ascii="宋体" w:hAnsi="宋体" w:cs="宋体"/>
          <w:sz w:val="21"/>
          <w:szCs w:val="21"/>
        </w:rPr>
        <w:t>款</w:t>
      </w:r>
      <w:r>
        <w:rPr>
          <w:rFonts w:hint="eastAsia" w:ascii="宋体" w:hAnsi="宋体" w:cs="宋体"/>
          <w:sz w:val="21"/>
          <w:szCs w:val="21"/>
          <w:lang w:val="en-US" w:eastAsia="zh-CN"/>
        </w:rPr>
        <w:t>项</w:t>
      </w:r>
      <w:r>
        <w:rPr>
          <w:rFonts w:hint="eastAsia" w:ascii="宋体" w:hAnsi="宋体" w:cs="宋体"/>
          <w:sz w:val="21"/>
          <w:szCs w:val="21"/>
        </w:rPr>
        <w:t>规定的评审因素和分值对商务标计算出得分a；</w:t>
      </w:r>
    </w:p>
    <w:p w14:paraId="7DD8FDEC">
      <w:pPr>
        <w:spacing w:line="360" w:lineRule="auto"/>
        <w:ind w:firstLine="420" w:firstLineChars="200"/>
        <w:rPr>
          <w:rFonts w:ascii="宋体" w:hAnsi="宋体" w:cs="宋体"/>
          <w:sz w:val="21"/>
          <w:szCs w:val="21"/>
        </w:rPr>
      </w:pPr>
      <w:r>
        <w:rPr>
          <w:rFonts w:hint="eastAsia" w:ascii="宋体" w:hAnsi="宋体" w:cs="宋体"/>
          <w:sz w:val="21"/>
          <w:szCs w:val="21"/>
        </w:rPr>
        <w:t>（2）按本章</w:t>
      </w:r>
      <w:r>
        <w:rPr>
          <w:rFonts w:hint="eastAsia" w:ascii="宋体" w:hAnsi="宋体" w:cs="宋体"/>
          <w:sz w:val="21"/>
          <w:szCs w:val="21"/>
          <w:lang w:val="en-US" w:eastAsia="zh-CN"/>
        </w:rPr>
        <w:t>有关</w:t>
      </w:r>
      <w:r>
        <w:rPr>
          <w:rFonts w:hint="eastAsia" w:ascii="宋体" w:hAnsi="宋体" w:cs="宋体"/>
          <w:sz w:val="21"/>
          <w:szCs w:val="21"/>
        </w:rPr>
        <w:t>款</w:t>
      </w:r>
      <w:r>
        <w:rPr>
          <w:rFonts w:hint="eastAsia" w:ascii="宋体" w:hAnsi="宋体" w:cs="宋体"/>
          <w:sz w:val="21"/>
          <w:szCs w:val="21"/>
          <w:lang w:val="en-US" w:eastAsia="zh-CN"/>
        </w:rPr>
        <w:t>项</w:t>
      </w:r>
      <w:r>
        <w:rPr>
          <w:rFonts w:hint="eastAsia" w:ascii="宋体" w:hAnsi="宋体" w:cs="宋体"/>
          <w:sz w:val="21"/>
          <w:szCs w:val="21"/>
        </w:rPr>
        <w:t>规定的评审因素和分值对技术标计算出得分b；</w:t>
      </w:r>
    </w:p>
    <w:p w14:paraId="2A4730ED">
      <w:pPr>
        <w:spacing w:line="360" w:lineRule="auto"/>
        <w:ind w:firstLine="420" w:firstLineChars="200"/>
        <w:rPr>
          <w:rFonts w:ascii="宋体" w:hAnsi="宋体" w:cs="宋体"/>
          <w:sz w:val="21"/>
          <w:szCs w:val="21"/>
        </w:rPr>
      </w:pPr>
      <w:r>
        <w:rPr>
          <w:rFonts w:hint="eastAsia" w:ascii="宋体" w:hAnsi="宋体" w:cs="宋体"/>
          <w:sz w:val="21"/>
          <w:szCs w:val="21"/>
        </w:rPr>
        <w:t>（3）按本章</w:t>
      </w:r>
      <w:r>
        <w:rPr>
          <w:rFonts w:hint="eastAsia" w:ascii="宋体" w:hAnsi="宋体" w:cs="宋体"/>
          <w:sz w:val="21"/>
          <w:szCs w:val="21"/>
          <w:lang w:val="en-US" w:eastAsia="zh-CN"/>
        </w:rPr>
        <w:t>有关</w:t>
      </w:r>
      <w:r>
        <w:rPr>
          <w:rFonts w:hint="eastAsia" w:ascii="宋体" w:hAnsi="宋体" w:cs="宋体"/>
          <w:sz w:val="21"/>
          <w:szCs w:val="21"/>
        </w:rPr>
        <w:t>款</w:t>
      </w:r>
      <w:r>
        <w:rPr>
          <w:rFonts w:hint="eastAsia" w:ascii="宋体" w:hAnsi="宋体" w:cs="宋体"/>
          <w:sz w:val="21"/>
          <w:szCs w:val="21"/>
          <w:lang w:val="en-US" w:eastAsia="zh-CN"/>
        </w:rPr>
        <w:t>项</w:t>
      </w:r>
      <w:r>
        <w:rPr>
          <w:rFonts w:hint="eastAsia" w:ascii="宋体" w:hAnsi="宋体" w:cs="宋体"/>
          <w:sz w:val="21"/>
          <w:szCs w:val="21"/>
        </w:rPr>
        <w:t>规定的评审因素和分值对综合标计算出得分c；</w:t>
      </w:r>
    </w:p>
    <w:p w14:paraId="679CFA96">
      <w:pPr>
        <w:spacing w:line="360" w:lineRule="auto"/>
        <w:ind w:firstLine="420" w:firstLineChars="200"/>
        <w:rPr>
          <w:rFonts w:ascii="宋体" w:hAnsi="宋体" w:cs="宋体"/>
          <w:sz w:val="21"/>
          <w:szCs w:val="21"/>
        </w:rPr>
      </w:pPr>
      <w:r>
        <w:rPr>
          <w:rFonts w:hint="eastAsia" w:ascii="宋体" w:hAnsi="宋体" w:cs="宋体"/>
          <w:sz w:val="21"/>
          <w:szCs w:val="21"/>
        </w:rPr>
        <w:t>3.2.2 评分分值计算保留小数点后两位，小数点后第三位“四舍五入”。</w:t>
      </w:r>
    </w:p>
    <w:p w14:paraId="261CF398">
      <w:pPr>
        <w:spacing w:line="360" w:lineRule="auto"/>
        <w:ind w:firstLine="420" w:firstLineChars="200"/>
        <w:rPr>
          <w:rFonts w:ascii="宋体" w:hAnsi="宋体" w:cs="宋体"/>
          <w:sz w:val="21"/>
          <w:szCs w:val="21"/>
        </w:rPr>
      </w:pPr>
      <w:r>
        <w:rPr>
          <w:rFonts w:hint="eastAsia" w:ascii="宋体" w:hAnsi="宋体" w:cs="宋体"/>
          <w:sz w:val="21"/>
          <w:szCs w:val="21"/>
        </w:rPr>
        <w:t>3.2.3 投标人得分=a+b+c（投标人最终得分为：评标委员会所有成员得分的算术平均值）。</w:t>
      </w:r>
    </w:p>
    <w:p w14:paraId="6ACB60E1">
      <w:pPr>
        <w:spacing w:line="360" w:lineRule="auto"/>
        <w:ind w:firstLine="420" w:firstLineChars="200"/>
        <w:rPr>
          <w:rFonts w:ascii="宋体" w:hAnsi="宋体" w:cs="宋体"/>
          <w:sz w:val="21"/>
          <w:szCs w:val="21"/>
        </w:rPr>
      </w:pPr>
      <w:r>
        <w:rPr>
          <w:rFonts w:hint="eastAsia" w:ascii="宋体" w:hAnsi="宋体" w:cs="宋体"/>
          <w:sz w:val="21"/>
          <w:szCs w:val="21"/>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2C5CFF50">
      <w:pPr>
        <w:spacing w:line="360" w:lineRule="auto"/>
        <w:ind w:firstLine="422" w:firstLineChars="200"/>
        <w:outlineLvl w:val="2"/>
        <w:rPr>
          <w:rFonts w:ascii="宋体" w:hAnsi="宋体" w:cs="宋体"/>
          <w:b/>
          <w:sz w:val="21"/>
          <w:szCs w:val="21"/>
        </w:rPr>
      </w:pPr>
      <w:bookmarkStart w:id="234" w:name="_Toc144974575"/>
      <w:bookmarkStart w:id="235" w:name="_Toc358873702"/>
      <w:bookmarkStart w:id="236" w:name="_Toc179632625"/>
      <w:bookmarkStart w:id="237" w:name="_Toc152045607"/>
      <w:bookmarkStart w:id="238" w:name="_Toc152042385"/>
      <w:r>
        <w:rPr>
          <w:rFonts w:hint="eastAsia" w:ascii="宋体" w:hAnsi="宋体" w:cs="宋体"/>
          <w:b/>
          <w:sz w:val="21"/>
          <w:szCs w:val="21"/>
        </w:rPr>
        <w:t>3.3 投标文件的澄清</w:t>
      </w:r>
      <w:bookmarkEnd w:id="234"/>
      <w:r>
        <w:rPr>
          <w:rFonts w:hint="eastAsia" w:ascii="宋体" w:hAnsi="宋体" w:cs="宋体"/>
          <w:b/>
          <w:sz w:val="21"/>
          <w:szCs w:val="21"/>
        </w:rPr>
        <w:t>和补正</w:t>
      </w:r>
      <w:bookmarkEnd w:id="235"/>
      <w:bookmarkEnd w:id="236"/>
      <w:bookmarkEnd w:id="237"/>
      <w:bookmarkEnd w:id="238"/>
    </w:p>
    <w:p w14:paraId="34F46B52">
      <w:pPr>
        <w:spacing w:line="360" w:lineRule="auto"/>
        <w:ind w:firstLine="420" w:firstLineChars="200"/>
        <w:rPr>
          <w:rFonts w:ascii="宋体" w:hAnsi="宋体" w:cs="宋体"/>
          <w:sz w:val="21"/>
          <w:szCs w:val="21"/>
        </w:rPr>
      </w:pPr>
      <w:r>
        <w:rPr>
          <w:rFonts w:hint="eastAsia" w:ascii="宋体" w:hAnsi="宋体" w:cs="宋体"/>
          <w:sz w:val="21"/>
          <w:szCs w:val="21"/>
        </w:rPr>
        <w:t>3.3.1在评标过程中，评标委员会可以在电子交易系统中要求投标人对所提交投标文件中不明确的内容进行电子澄清或说明，或者对细微偏差进行补正。评标委员会不接受投标人主动提出的澄清、说明或补正。</w:t>
      </w:r>
    </w:p>
    <w:p w14:paraId="6EDBC110">
      <w:pPr>
        <w:spacing w:line="360" w:lineRule="auto"/>
        <w:ind w:firstLine="420" w:firstLineChars="200"/>
        <w:rPr>
          <w:rFonts w:ascii="宋体" w:hAnsi="宋体" w:cs="宋体"/>
          <w:sz w:val="21"/>
          <w:szCs w:val="21"/>
        </w:rPr>
      </w:pPr>
      <w:r>
        <w:rPr>
          <w:rFonts w:hint="eastAsia" w:ascii="宋体" w:hAnsi="宋体" w:cs="宋体"/>
          <w:sz w:val="21"/>
          <w:szCs w:val="21"/>
        </w:rPr>
        <w:t>3.3.2 澄清、说明和补正不得改变投标文件的实质性内容（算术性错误修正的除外）。投标人的电子澄清、说明和补正属于投标文件的组成部分。</w:t>
      </w:r>
    </w:p>
    <w:p w14:paraId="10A42CD9">
      <w:pPr>
        <w:spacing w:line="360" w:lineRule="auto"/>
        <w:ind w:firstLine="420" w:firstLineChars="200"/>
        <w:rPr>
          <w:rFonts w:ascii="宋体" w:hAnsi="宋体" w:cs="宋体"/>
          <w:sz w:val="21"/>
          <w:szCs w:val="21"/>
        </w:rPr>
      </w:pPr>
      <w:r>
        <w:rPr>
          <w:rFonts w:hint="eastAsia" w:ascii="宋体" w:hAnsi="宋体" w:cs="宋体"/>
          <w:sz w:val="21"/>
          <w:szCs w:val="21"/>
        </w:rPr>
        <w:t>3.3.3 评标委员会对投标人提交的澄清、说明或补正有疑问的，可以要求投标人进一步澄清、说明或补正，直至满足评标委员会的要求。</w:t>
      </w:r>
    </w:p>
    <w:p w14:paraId="2C73BDCB">
      <w:pPr>
        <w:spacing w:line="360" w:lineRule="auto"/>
        <w:ind w:firstLine="422" w:firstLineChars="200"/>
        <w:outlineLvl w:val="2"/>
        <w:rPr>
          <w:rFonts w:ascii="宋体" w:hAnsi="宋体" w:cs="宋体"/>
          <w:b/>
          <w:sz w:val="21"/>
          <w:szCs w:val="21"/>
        </w:rPr>
      </w:pPr>
      <w:bookmarkStart w:id="239" w:name="_Toc144974576"/>
      <w:bookmarkStart w:id="240" w:name="_Toc152045608"/>
      <w:bookmarkStart w:id="241" w:name="_Toc179632626"/>
      <w:bookmarkStart w:id="242" w:name="_Toc152042386"/>
      <w:bookmarkStart w:id="243" w:name="_Toc358873703"/>
      <w:r>
        <w:rPr>
          <w:rFonts w:hint="eastAsia" w:ascii="宋体" w:hAnsi="宋体" w:cs="宋体"/>
          <w:b/>
          <w:sz w:val="21"/>
          <w:szCs w:val="21"/>
        </w:rPr>
        <w:t>3.4 评标结果</w:t>
      </w:r>
      <w:bookmarkEnd w:id="239"/>
      <w:bookmarkEnd w:id="240"/>
      <w:bookmarkEnd w:id="241"/>
      <w:bookmarkEnd w:id="242"/>
      <w:bookmarkEnd w:id="243"/>
    </w:p>
    <w:p w14:paraId="670596C0">
      <w:pPr>
        <w:spacing w:line="360" w:lineRule="auto"/>
        <w:ind w:firstLine="420" w:firstLineChars="200"/>
        <w:rPr>
          <w:rFonts w:ascii="宋体" w:hAnsi="宋体" w:cs="宋体"/>
          <w:sz w:val="21"/>
          <w:szCs w:val="21"/>
        </w:rPr>
      </w:pPr>
      <w:r>
        <w:rPr>
          <w:rFonts w:hint="eastAsia" w:ascii="宋体" w:hAnsi="宋体" w:cs="宋体"/>
          <w:sz w:val="21"/>
          <w:szCs w:val="21"/>
        </w:rPr>
        <w:t>3.4.1除第二章“投标人须知”前附表授权直接确定中标人外，评标委员会按照得分由高到低的顺序推荐中标候选人。</w:t>
      </w:r>
    </w:p>
    <w:p w14:paraId="270454B0">
      <w:pPr>
        <w:spacing w:line="360" w:lineRule="auto"/>
        <w:ind w:firstLine="420" w:firstLineChars="200"/>
        <w:rPr>
          <w:rFonts w:ascii="宋体" w:hAnsi="宋体" w:cs="宋体"/>
          <w:sz w:val="24"/>
        </w:rPr>
      </w:pPr>
      <w:r>
        <w:rPr>
          <w:rFonts w:hint="eastAsia" w:ascii="宋体" w:hAnsi="宋体" w:cs="宋体"/>
          <w:sz w:val="21"/>
          <w:szCs w:val="21"/>
        </w:rPr>
        <w:t>3.4.2 评标委员会完成评标后，应当向采购人提交书面评标报告。</w:t>
      </w:r>
    </w:p>
    <w:p w14:paraId="055F3215">
      <w:pPr>
        <w:spacing w:after="120" w:line="480" w:lineRule="auto"/>
        <w:rPr>
          <w:rFonts w:ascii="Calibri" w:hAnsi="Calibri"/>
          <w:szCs w:val="22"/>
        </w:rPr>
      </w:pPr>
    </w:p>
    <w:p w14:paraId="1E01B3B5">
      <w:pPr>
        <w:spacing w:line="360" w:lineRule="auto"/>
        <w:rPr>
          <w:rFonts w:ascii="宋体" w:hAnsi="宋体"/>
          <w:sz w:val="24"/>
        </w:rPr>
        <w:sectPr>
          <w:pgSz w:w="11906" w:h="16838"/>
          <w:pgMar w:top="1134" w:right="1134" w:bottom="1418" w:left="1418" w:header="851" w:footer="992" w:gutter="0"/>
          <w:cols w:space="425" w:num="1"/>
          <w:docGrid w:type="lines" w:linePitch="312" w:charSpace="0"/>
        </w:sectPr>
      </w:pPr>
    </w:p>
    <w:p w14:paraId="43F1E842">
      <w:pPr>
        <w:bidi w:val="0"/>
        <w:jc w:val="center"/>
        <w:rPr>
          <w:rFonts w:hint="eastAsia"/>
          <w:b/>
          <w:bCs/>
          <w:sz w:val="32"/>
          <w:szCs w:val="40"/>
          <w:lang w:val="en-US" w:eastAsia="zh-CN"/>
        </w:rPr>
      </w:pPr>
      <w:bookmarkStart w:id="244" w:name="_Toc18643"/>
      <w:bookmarkStart w:id="245" w:name="_Toc119784538"/>
      <w:r>
        <w:rPr>
          <w:rFonts w:hint="eastAsia"/>
          <w:b/>
          <w:bCs/>
          <w:sz w:val="32"/>
          <w:szCs w:val="40"/>
          <w:lang w:val="en-US" w:eastAsia="zh-CN"/>
        </w:rPr>
        <w:t>第四章  合同条款及格式</w:t>
      </w:r>
      <w:bookmarkEnd w:id="244"/>
      <w:bookmarkEnd w:id="245"/>
    </w:p>
    <w:p w14:paraId="748B928B">
      <w:pPr>
        <w:jc w:val="center"/>
        <w:rPr>
          <w:rFonts w:ascii="宋体" w:hAnsi="宋体"/>
          <w:color w:val="000000"/>
          <w:szCs w:val="21"/>
        </w:rPr>
      </w:pPr>
      <w:bookmarkStart w:id="246" w:name="15.1__变更的范围和内容"/>
      <w:bookmarkEnd w:id="246"/>
      <w:bookmarkStart w:id="247" w:name="14.__试验和检验"/>
      <w:bookmarkEnd w:id="247"/>
      <w:bookmarkStart w:id="248" w:name="17.__计量与支付"/>
      <w:bookmarkEnd w:id="248"/>
      <w:bookmarkStart w:id="249" w:name="11.6__工期提前"/>
      <w:bookmarkEnd w:id="249"/>
      <w:bookmarkStart w:id="250" w:name="_bookmark42"/>
      <w:bookmarkEnd w:id="250"/>
      <w:bookmarkStart w:id="251" w:name="15.6__暂列金额"/>
      <w:bookmarkEnd w:id="251"/>
      <w:bookmarkStart w:id="252" w:name="16.1__物价波动引起的价格调整"/>
      <w:bookmarkEnd w:id="252"/>
      <w:bookmarkStart w:id="253" w:name="17.2__预付款_"/>
      <w:bookmarkEnd w:id="253"/>
      <w:bookmarkStart w:id="254" w:name="16.__价格调整"/>
      <w:bookmarkEnd w:id="254"/>
      <w:bookmarkStart w:id="255" w:name="15.__变更"/>
      <w:bookmarkEnd w:id="255"/>
      <w:bookmarkStart w:id="256" w:name="14.1__材料、工程设备和工程的试验和检验"/>
      <w:bookmarkEnd w:id="256"/>
      <w:r>
        <w:rPr>
          <w:rFonts w:hint="eastAsia" w:ascii="宋体" w:hAnsi="宋体"/>
          <w:color w:val="000000"/>
          <w:szCs w:val="21"/>
        </w:rPr>
        <w:t>本合同格式仅供参考，以实际签订为准</w:t>
      </w:r>
    </w:p>
    <w:p w14:paraId="2A81A741">
      <w:pPr>
        <w:spacing w:line="440" w:lineRule="exact"/>
        <w:ind w:firstLine="420" w:firstLineChars="200"/>
        <w:rPr>
          <w:rFonts w:hint="eastAsia" w:ascii="宋体" w:hAnsi="宋体" w:eastAsia="宋体" w:cs="宋体"/>
          <w:sz w:val="21"/>
          <w:szCs w:val="21"/>
          <w:highlight w:val="none"/>
        </w:rPr>
      </w:pPr>
      <w:bookmarkStart w:id="257" w:name="_Toc326653994"/>
      <w:bookmarkStart w:id="258" w:name="_Toc351203494"/>
      <w:bookmarkStart w:id="259" w:name="_Toc27548"/>
      <w:bookmarkStart w:id="260" w:name="_Toc13729"/>
      <w:r>
        <w:rPr>
          <w:rFonts w:hint="eastAsia" w:ascii="宋体" w:hAnsi="宋体" w:eastAsia="宋体" w:cs="宋体"/>
          <w:sz w:val="21"/>
          <w:szCs w:val="21"/>
          <w:highlight w:val="none"/>
        </w:rPr>
        <w:t>委托方（全称）：</w:t>
      </w:r>
      <w:r>
        <w:rPr>
          <w:rFonts w:hint="eastAsia" w:ascii="宋体" w:hAnsi="宋体" w:eastAsia="宋体" w:cs="宋体"/>
          <w:kern w:val="0"/>
          <w:sz w:val="21"/>
          <w:szCs w:val="21"/>
          <w:highlight w:val="none"/>
          <w:u w:val="single"/>
          <w:lang w:bidi="ar"/>
        </w:rPr>
        <w:t xml:space="preserve">                    </w:t>
      </w:r>
      <w:r>
        <w:rPr>
          <w:rFonts w:hint="eastAsia" w:ascii="宋体" w:hAnsi="宋体" w:eastAsia="宋体" w:cs="宋体"/>
          <w:sz w:val="21"/>
          <w:szCs w:val="21"/>
          <w:highlight w:val="none"/>
        </w:rPr>
        <w:t>（以下简称甲方）</w:t>
      </w:r>
    </w:p>
    <w:p w14:paraId="3CED1DCE">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受托方（全称）：</w:t>
      </w:r>
      <w:r>
        <w:rPr>
          <w:rFonts w:hint="eastAsia" w:ascii="宋体" w:hAnsi="宋体" w:eastAsia="宋体" w:cs="宋体"/>
          <w:kern w:val="0"/>
          <w:sz w:val="21"/>
          <w:szCs w:val="21"/>
          <w:highlight w:val="none"/>
          <w:u w:val="single"/>
          <w:lang w:bidi="ar"/>
        </w:rPr>
        <w:t xml:space="preserve">                    </w:t>
      </w:r>
      <w:r>
        <w:rPr>
          <w:rFonts w:hint="eastAsia" w:ascii="宋体" w:hAnsi="宋体" w:eastAsia="宋体" w:cs="宋体"/>
          <w:sz w:val="21"/>
          <w:szCs w:val="21"/>
          <w:highlight w:val="none"/>
        </w:rPr>
        <w:t>（以下简称乙方）</w:t>
      </w:r>
    </w:p>
    <w:p w14:paraId="1F4C3D12">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本合同甲方委托乙方进行</w:t>
      </w:r>
      <w:r>
        <w:rPr>
          <w:rFonts w:hint="eastAsia" w:ascii="宋体" w:hAnsi="宋体" w:eastAsia="宋体" w:cs="宋体"/>
          <w:kern w:val="0"/>
          <w:sz w:val="21"/>
          <w:szCs w:val="21"/>
          <w:highlight w:val="none"/>
          <w:u w:val="single"/>
          <w:lang w:bidi="ar"/>
        </w:rPr>
        <w:t xml:space="preserve">   </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lang w:bidi="ar"/>
        </w:rPr>
        <w:t xml:space="preserve">      </w:t>
      </w:r>
      <w:r>
        <w:rPr>
          <w:rFonts w:hint="eastAsia" w:ascii="宋体" w:hAnsi="宋体" w:eastAsia="宋体" w:cs="宋体"/>
          <w:sz w:val="21"/>
          <w:szCs w:val="21"/>
          <w:highlight w:val="none"/>
        </w:rPr>
        <w:t>的技术服务工作，并支付相应的技术服务报酬。依照《中华人民共和国</w:t>
      </w:r>
      <w:r>
        <w:rPr>
          <w:rFonts w:hint="eastAsia" w:ascii="宋体" w:hAnsi="宋体" w:eastAsia="宋体" w:cs="宋体"/>
          <w:sz w:val="21"/>
          <w:szCs w:val="21"/>
          <w:highlight w:val="none"/>
          <w:lang w:eastAsia="zh-CN"/>
        </w:rPr>
        <w:t>民法典</w:t>
      </w:r>
      <w:r>
        <w:rPr>
          <w:rFonts w:hint="eastAsia" w:ascii="宋体" w:hAnsi="宋体" w:eastAsia="宋体" w:cs="宋体"/>
          <w:sz w:val="21"/>
          <w:szCs w:val="21"/>
          <w:highlight w:val="none"/>
        </w:rPr>
        <w:t>》及其他有关法律、行政法规，遵循平等、自愿、公平和诚实信用的原则，现达成如下协议：</w:t>
      </w:r>
    </w:p>
    <w:p w14:paraId="77546BE5">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第一条、甲方委托乙方进行技术服务的内容如下：</w:t>
      </w:r>
    </w:p>
    <w:p w14:paraId="711FA159">
      <w:pPr>
        <w:spacing w:line="440" w:lineRule="exact"/>
        <w:ind w:firstLine="420" w:firstLineChars="200"/>
        <w:rPr>
          <w:rFonts w:hint="eastAsia" w:ascii="宋体" w:hAnsi="宋体" w:eastAsia="宋体" w:cs="宋体"/>
          <w:kern w:val="0"/>
          <w:sz w:val="21"/>
          <w:szCs w:val="21"/>
          <w:highlight w:val="none"/>
          <w:u w:val="single"/>
          <w:lang w:bidi="ar"/>
        </w:rPr>
      </w:pPr>
      <w:r>
        <w:rPr>
          <w:rFonts w:hint="eastAsia" w:ascii="宋体" w:hAnsi="宋体" w:eastAsia="宋体" w:cs="宋体"/>
          <w:sz w:val="21"/>
          <w:szCs w:val="21"/>
          <w:highlight w:val="none"/>
        </w:rPr>
        <w:t>1.技术服务的目标：</w:t>
      </w:r>
      <w:r>
        <w:rPr>
          <w:rFonts w:hint="eastAsia" w:ascii="宋体" w:hAnsi="宋体" w:eastAsia="宋体" w:cs="宋体"/>
          <w:kern w:val="0"/>
          <w:sz w:val="21"/>
          <w:szCs w:val="21"/>
          <w:highlight w:val="none"/>
          <w:u w:val="single"/>
          <w:lang w:bidi="ar"/>
        </w:rPr>
        <w:t xml:space="preserve">                            </w:t>
      </w:r>
    </w:p>
    <w:p w14:paraId="2A3EC3F6">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2.技术服务的内容：</w:t>
      </w:r>
      <w:r>
        <w:rPr>
          <w:rFonts w:hint="eastAsia" w:ascii="宋体" w:hAnsi="宋体" w:eastAsia="宋体" w:cs="宋体"/>
          <w:kern w:val="0"/>
          <w:sz w:val="21"/>
          <w:szCs w:val="21"/>
          <w:highlight w:val="none"/>
          <w:u w:val="single"/>
          <w:lang w:bidi="ar"/>
        </w:rPr>
        <w:t xml:space="preserve">                            </w:t>
      </w:r>
    </w:p>
    <w:p w14:paraId="3AF0C4BE">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3.技术服务的方式：</w:t>
      </w:r>
      <w:r>
        <w:rPr>
          <w:rFonts w:hint="eastAsia" w:ascii="宋体" w:hAnsi="宋体" w:eastAsia="宋体" w:cs="宋体"/>
          <w:kern w:val="0"/>
          <w:sz w:val="21"/>
          <w:szCs w:val="21"/>
          <w:highlight w:val="none"/>
          <w:u w:val="single"/>
          <w:lang w:bidi="ar"/>
        </w:rPr>
        <w:t xml:space="preserve">                            </w:t>
      </w:r>
    </w:p>
    <w:p w14:paraId="040C94FD">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第二条、乙方应按下列要求完成技术服务工作：</w:t>
      </w:r>
    </w:p>
    <w:p w14:paraId="36B94ACE">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1.技术服务地点：</w:t>
      </w:r>
      <w:r>
        <w:rPr>
          <w:rFonts w:hint="eastAsia" w:ascii="宋体" w:hAnsi="宋体" w:eastAsia="宋体" w:cs="宋体"/>
          <w:kern w:val="0"/>
          <w:sz w:val="21"/>
          <w:szCs w:val="21"/>
          <w:highlight w:val="none"/>
          <w:u w:val="single"/>
          <w:lang w:bidi="ar"/>
        </w:rPr>
        <w:t xml:space="preserve">                              </w:t>
      </w:r>
    </w:p>
    <w:p w14:paraId="7B74C98F">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2.技术服务质量要求：</w:t>
      </w:r>
      <w:r>
        <w:rPr>
          <w:rFonts w:hint="eastAsia" w:ascii="宋体" w:hAnsi="宋体" w:eastAsia="宋体" w:cs="宋体"/>
          <w:kern w:val="0"/>
          <w:sz w:val="21"/>
          <w:szCs w:val="21"/>
          <w:highlight w:val="none"/>
          <w:u w:val="single"/>
          <w:lang w:bidi="ar"/>
        </w:rPr>
        <w:t xml:space="preserve">                          </w:t>
      </w:r>
    </w:p>
    <w:p w14:paraId="06DC97D7">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3.技术服务质量期限要求：</w:t>
      </w:r>
      <w:r>
        <w:rPr>
          <w:rFonts w:hint="eastAsia" w:ascii="宋体" w:hAnsi="宋体" w:eastAsia="宋体" w:cs="宋体"/>
          <w:kern w:val="0"/>
          <w:sz w:val="21"/>
          <w:szCs w:val="21"/>
          <w:highlight w:val="none"/>
          <w:u w:val="single"/>
          <w:lang w:bidi="ar"/>
        </w:rPr>
        <w:t xml:space="preserve">                      </w:t>
      </w:r>
    </w:p>
    <w:p w14:paraId="3B47298F">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4.技术服务成果的提交要求：</w:t>
      </w:r>
      <w:r>
        <w:rPr>
          <w:rFonts w:hint="eastAsia" w:ascii="宋体" w:hAnsi="宋体" w:eastAsia="宋体" w:cs="宋体"/>
          <w:kern w:val="0"/>
          <w:sz w:val="21"/>
          <w:szCs w:val="21"/>
          <w:highlight w:val="none"/>
          <w:u w:val="single"/>
          <w:lang w:bidi="ar"/>
        </w:rPr>
        <w:t xml:space="preserve">                    </w:t>
      </w:r>
    </w:p>
    <w:p w14:paraId="1E08296A">
      <w:pPr>
        <w:spacing w:line="44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第三条、为保证乙方有效进行技术服务工作，甲方应向乙方提供下列工作条件和协作事项：</w:t>
      </w:r>
    </w:p>
    <w:p w14:paraId="2175C971">
      <w:pPr>
        <w:tabs>
          <w:tab w:val="left" w:pos="7633"/>
        </w:tabs>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1.提供技术资料：相关基础资料。</w:t>
      </w:r>
    </w:p>
    <w:p w14:paraId="1E8D493A">
      <w:pPr>
        <w:tabs>
          <w:tab w:val="left" w:pos="7633"/>
        </w:tabs>
        <w:spacing w:line="44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2.提供工作条件：提供相关协作人员对接。</w:t>
      </w:r>
    </w:p>
    <w:p w14:paraId="2BF8B215">
      <w:pPr>
        <w:spacing w:line="44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3.甲方提供上述工作条件和协作事项的时间及方式。</w:t>
      </w:r>
    </w:p>
    <w:p w14:paraId="1F5588B8">
      <w:pPr>
        <w:autoSpaceDE w:val="0"/>
        <w:autoSpaceDN w:val="0"/>
        <w:adjustRightInd w:val="0"/>
        <w:spacing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第四条.技术服务合同金额及支付方式</w:t>
      </w:r>
      <w:r>
        <w:rPr>
          <w:rFonts w:hint="eastAsia" w:ascii="宋体" w:hAnsi="宋体" w:eastAsia="宋体" w:cs="宋体"/>
          <w:sz w:val="21"/>
          <w:szCs w:val="21"/>
          <w:highlight w:val="none"/>
        </w:rPr>
        <w:t>：</w:t>
      </w:r>
    </w:p>
    <w:p w14:paraId="714ADFA1">
      <w:pPr>
        <w:autoSpaceDE w:val="0"/>
        <w:autoSpaceDN w:val="0"/>
        <w:adjustRightInd w:val="0"/>
        <w:spacing w:line="44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bidi="ar"/>
        </w:rPr>
        <w:t>（1）服务费总额为：</w:t>
      </w:r>
      <w:r>
        <w:rPr>
          <w:rFonts w:hint="eastAsia" w:ascii="宋体" w:hAnsi="宋体" w:eastAsia="宋体" w:cs="宋体"/>
          <w:sz w:val="21"/>
          <w:szCs w:val="21"/>
          <w:highlight w:val="none"/>
          <w:lang w:bidi="ar"/>
        </w:rPr>
        <w:t xml:space="preserve">（大写）人民币 </w:t>
      </w:r>
      <w:r>
        <w:rPr>
          <w:rFonts w:hint="eastAsia" w:ascii="宋体" w:hAnsi="宋体" w:eastAsia="宋体" w:cs="宋体"/>
          <w:sz w:val="21"/>
          <w:szCs w:val="21"/>
          <w:highlight w:val="none"/>
          <w:u w:val="single"/>
          <w:lang w:bidi="ar"/>
        </w:rPr>
        <w:t xml:space="preserve">         </w:t>
      </w:r>
      <w:r>
        <w:rPr>
          <w:rFonts w:hint="eastAsia" w:ascii="宋体" w:hAnsi="宋体" w:eastAsia="宋体" w:cs="宋体"/>
          <w:sz w:val="21"/>
          <w:szCs w:val="21"/>
          <w:highlight w:val="none"/>
          <w:lang w:bidi="ar"/>
        </w:rPr>
        <w:t>（小写￥</w:t>
      </w:r>
      <w:r>
        <w:rPr>
          <w:rFonts w:hint="eastAsia" w:ascii="宋体" w:hAnsi="宋体" w:eastAsia="宋体" w:cs="宋体"/>
          <w:sz w:val="21"/>
          <w:szCs w:val="21"/>
          <w:highlight w:val="none"/>
          <w:u w:val="single"/>
          <w:lang w:bidi="ar"/>
        </w:rPr>
        <w:t xml:space="preserve">         </w:t>
      </w:r>
      <w:r>
        <w:rPr>
          <w:rFonts w:hint="eastAsia" w:ascii="宋体" w:hAnsi="宋体" w:eastAsia="宋体" w:cs="宋体"/>
          <w:sz w:val="21"/>
          <w:szCs w:val="21"/>
          <w:highlight w:val="none"/>
          <w:lang w:bidi="ar"/>
        </w:rPr>
        <w:t>元）。</w:t>
      </w:r>
    </w:p>
    <w:p w14:paraId="2243F264">
      <w:pPr>
        <w:autoSpaceDE w:val="0"/>
        <w:autoSpaceDN w:val="0"/>
        <w:adjustRightInd w:val="0"/>
        <w:spacing w:line="440" w:lineRule="exact"/>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kern w:val="0"/>
          <w:sz w:val="21"/>
          <w:szCs w:val="21"/>
          <w:highlight w:val="none"/>
          <w:lang w:bidi="ar"/>
        </w:rPr>
        <w:t>（2）付款方式：</w:t>
      </w:r>
      <w:r>
        <w:rPr>
          <w:rFonts w:hint="eastAsia" w:ascii="宋体" w:hAnsi="宋体" w:eastAsia="宋体" w:cs="宋体"/>
          <w:color w:val="auto"/>
          <w:sz w:val="21"/>
          <w:szCs w:val="21"/>
        </w:rPr>
        <w:t>合同签订后，成交人进场服务并提供符合甲方要求的支付手续后，甲方支付给乙方合同金额的</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服务两个月</w:t>
      </w:r>
      <w:r>
        <w:rPr>
          <w:rFonts w:hint="eastAsia" w:ascii="宋体" w:hAnsi="宋体" w:eastAsia="宋体" w:cs="宋体"/>
          <w:color w:val="auto"/>
          <w:sz w:val="21"/>
          <w:szCs w:val="21"/>
        </w:rPr>
        <w:t>后，成交人按照合同履约并提交合格支付手续后，甲方向乙方支付合同金额的</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0%；合同服务期结束，甲方组织人员对乙方的履约情况进行验收，确定乙方已完成合同约定的全部服务后，甲方将剩余合同金额的</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0%支付给乙方。</w:t>
      </w:r>
    </w:p>
    <w:p w14:paraId="6DEC2983">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第五条：双方确定因履行本合同应遵守的保密义务如下：</w:t>
      </w:r>
    </w:p>
    <w:p w14:paraId="4E58B4D8">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对履行本合同所获得的数据信息，应采取适当的措施使其处于保密状态。未经甲方书面同意，不得为本合同以外的目的披露、使用和允许他人使用。同时，乙方应督促和保证其他工作人员遵守本合同项目下的保密义务。乙方或其他人员违反该保密义务的，乙方应向甲方支付合同总价20%的违约金，并赔偿甲方因此遭受的所有直接和间接损失。</w:t>
      </w:r>
    </w:p>
    <w:p w14:paraId="6A49833A">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第六条：本合同的变更必须有双方协商一致，并以书面形式确定。</w:t>
      </w:r>
    </w:p>
    <w:p w14:paraId="0D03A43E">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第七条：甲方的权利和义务：</w:t>
      </w:r>
    </w:p>
    <w:p w14:paraId="16974B33">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1.甲方有权向乙方询问技术服务工作进展情况及相关的内容，乙方应及时将该工作进度及相关内容反馈甲方。</w:t>
      </w:r>
    </w:p>
    <w:p w14:paraId="250EFC98">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2.甲方有权监督、检查乙方的技术服务工作，并对乙方的技术履务工作提出意见和建议。</w:t>
      </w:r>
    </w:p>
    <w:p w14:paraId="0BC00DC3">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3.甲方应积极配合协助乙方完成技术服务工作，并为乙方提供工作条件和技术资料。</w:t>
      </w:r>
    </w:p>
    <w:p w14:paraId="00F17D81">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4.甲方有权接收乙方交付的技术服务成果，并享有该技术服务成果的财产权及知识产权。</w:t>
      </w:r>
    </w:p>
    <w:p w14:paraId="1954E5FA">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5.甲方应按照合同约定，及时、足额向乙方支付技术服务费用。</w:t>
      </w:r>
    </w:p>
    <w:p w14:paraId="119B6ED0">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第八条：乙方的权利和义务</w:t>
      </w:r>
    </w:p>
    <w:p w14:paraId="655B616C">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乙方的权利和义务：乙方应当按照国家、河南省和平顶山市有关的法律、法规、规范、标准、规程、政策和甲方提出的要求完成技术服务工作。同时，乙方应当参加相关部门组织的专家评审验收，并根据专家评审意见进行修改完善，直至通过专家评审验收。</w:t>
      </w:r>
    </w:p>
    <w:p w14:paraId="00BC79C3">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2.乙方应当建立健全质量控制体系，加强完善技术服务过程管理，提高技术服务质量，确保技术服务工作符合合同约定技术规范标准和甲方提出的要求。</w:t>
      </w:r>
    </w:p>
    <w:p w14:paraId="79CE89D7">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3.乙方应当制定并严格执行工作进度计划，合理分解进度目标，科学编制阶段性进度计划，保证按照本合同约定的技术服务进度完成技术服务工作。</w:t>
      </w:r>
    </w:p>
    <w:p w14:paraId="12706D03">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4.技术服务质量期限内，乙方应根据甲方要求在甲方指定的合理期限内无偿对技术服务的内容进行调整完善。</w:t>
      </w:r>
    </w:p>
    <w:p w14:paraId="2CBB3566">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5.本项目形成数据和报告的知识产权归甲方所有，未经甲方书面同意，乙方不得修改、翻译、注释或向公众展示、发表文件中方案及其复制品。</w:t>
      </w:r>
    </w:p>
    <w:p w14:paraId="5F06ED72">
      <w:p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6.未经甲方书面同意，乙方不得将本合同项下部分或全部服务工作转由第三人承担。</w:t>
      </w:r>
    </w:p>
    <w:p w14:paraId="233AB8F0">
      <w:pPr>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第九条、双方确定，在本合同有效期内，甲方指定</w:t>
      </w:r>
      <w:r>
        <w:rPr>
          <w:rFonts w:hint="eastAsia" w:ascii="宋体" w:hAnsi="宋体" w:eastAsia="宋体" w:cs="宋体"/>
          <w:kern w:val="0"/>
          <w:sz w:val="21"/>
          <w:szCs w:val="21"/>
          <w:highlight w:val="none"/>
          <w:u w:val="single"/>
          <w:lang w:bidi="ar"/>
        </w:rPr>
        <w:t xml:space="preserve">      </w:t>
      </w:r>
      <w:r>
        <w:rPr>
          <w:rFonts w:hint="eastAsia" w:ascii="宋体" w:hAnsi="宋体" w:eastAsia="宋体" w:cs="宋体"/>
          <w:kern w:val="0"/>
          <w:sz w:val="21"/>
          <w:szCs w:val="21"/>
          <w:highlight w:val="none"/>
          <w:lang w:bidi="ar"/>
        </w:rPr>
        <w:t>为甲方项目联系人，乙方指定</w:t>
      </w:r>
      <w:r>
        <w:rPr>
          <w:rFonts w:hint="eastAsia" w:ascii="宋体" w:hAnsi="宋体" w:eastAsia="宋体" w:cs="宋体"/>
          <w:kern w:val="0"/>
          <w:sz w:val="21"/>
          <w:szCs w:val="21"/>
          <w:highlight w:val="none"/>
          <w:u w:val="single"/>
          <w:lang w:bidi="ar"/>
        </w:rPr>
        <w:t xml:space="preserve">        </w:t>
      </w:r>
      <w:r>
        <w:rPr>
          <w:rFonts w:hint="eastAsia" w:ascii="宋体" w:hAnsi="宋体" w:eastAsia="宋体" w:cs="宋体"/>
          <w:kern w:val="0"/>
          <w:sz w:val="21"/>
          <w:szCs w:val="21"/>
          <w:highlight w:val="none"/>
          <w:lang w:bidi="ar"/>
        </w:rPr>
        <w:t>为乙方项目联系人。</w:t>
      </w:r>
    </w:p>
    <w:p w14:paraId="44C9805F">
      <w:pPr>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项目联系人承担以下责任：</w:t>
      </w:r>
    </w:p>
    <w:p w14:paraId="1495A30D">
      <w:pPr>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1.及时沟通工作进展情况；</w:t>
      </w:r>
    </w:p>
    <w:p w14:paraId="54E4B069">
      <w:pPr>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2.及时沟通双方需求变化。</w:t>
      </w:r>
    </w:p>
    <w:p w14:paraId="4B561624">
      <w:pPr>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一方变更项目联系人的，应当及时以书面形式通知另一方。未及时通知并影响本合同履行或造成损失的，应承担相关的责任。</w:t>
      </w:r>
    </w:p>
    <w:p w14:paraId="36AACF3A">
      <w:pPr>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第十条、由于不可抗力的原因不能履行合同时，应及时向对方通报不能履行或不能完全履行的理由，在取得有关权威部门的证明以后，允许延期履行、部分履行或者不履行合同，并根据情况可部分或全部免予承担违约责任。</w:t>
      </w:r>
    </w:p>
    <w:p w14:paraId="3309BB05">
      <w:pPr>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第十一条：双方因履行本合同而发生的争议，应协商、调解解决。协商、调解不成的，约定由</w:t>
      </w:r>
      <w:r>
        <w:rPr>
          <w:rFonts w:hint="eastAsia" w:ascii="宋体" w:hAnsi="宋体" w:eastAsia="宋体" w:cs="宋体"/>
          <w:kern w:val="0"/>
          <w:sz w:val="21"/>
          <w:szCs w:val="21"/>
          <w:highlight w:val="none"/>
          <w:lang w:val="en-US" w:eastAsia="zh-CN" w:bidi="ar"/>
        </w:rPr>
        <w:t>项目所在地</w:t>
      </w:r>
      <w:r>
        <w:rPr>
          <w:rFonts w:hint="eastAsia" w:ascii="宋体" w:hAnsi="宋体" w:eastAsia="宋体" w:cs="宋体"/>
          <w:kern w:val="0"/>
          <w:sz w:val="21"/>
          <w:szCs w:val="21"/>
          <w:highlight w:val="none"/>
          <w:lang w:bidi="ar"/>
        </w:rPr>
        <w:t>仲裁委员会仲裁。</w:t>
      </w:r>
    </w:p>
    <w:p w14:paraId="07E823B1">
      <w:pPr>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第十二条：双方约定本合同其他相关事项为：</w:t>
      </w:r>
    </w:p>
    <w:p w14:paraId="7F3E4704">
      <w:pPr>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本合同约定的书面通知可以当面递交、邮寄送达或电子邮箱送达。当面递交通知的，接收人应当签收回执：邮寄送达的通知，其送达地址应为本合同签署页</w:t>
      </w:r>
    </w:p>
    <w:p w14:paraId="3728DAD5">
      <w:pPr>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第十三条：本合同自签字之日起生效，甲乙双方均不得随意变更或解除合同。</w:t>
      </w:r>
    </w:p>
    <w:p w14:paraId="2CD4FC08">
      <w:pPr>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第十四条：合同如有未尽事宜，须经甲乙双方共同协商，做出补充约定，补充约定与本合同具有同等法律效力。</w:t>
      </w:r>
    </w:p>
    <w:p w14:paraId="6AFD32D1">
      <w:pPr>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第十五条：本合同一式</w:t>
      </w:r>
      <w:r>
        <w:rPr>
          <w:rFonts w:hint="eastAsia" w:ascii="宋体" w:hAnsi="宋体" w:eastAsia="宋体" w:cs="宋体"/>
          <w:kern w:val="0"/>
          <w:sz w:val="21"/>
          <w:szCs w:val="21"/>
          <w:highlight w:val="none"/>
          <w:lang w:val="en-US" w:eastAsia="zh-CN" w:bidi="ar"/>
        </w:rPr>
        <w:t>五</w:t>
      </w:r>
      <w:r>
        <w:rPr>
          <w:rFonts w:hint="eastAsia" w:ascii="宋体" w:hAnsi="宋体" w:eastAsia="宋体" w:cs="宋体"/>
          <w:kern w:val="0"/>
          <w:sz w:val="21"/>
          <w:szCs w:val="21"/>
          <w:highlight w:val="none"/>
          <w:lang w:bidi="ar"/>
        </w:rPr>
        <w:t>份，甲、乙双方各执二份，</w:t>
      </w:r>
      <w:r>
        <w:rPr>
          <w:rFonts w:hint="eastAsia" w:ascii="宋体" w:hAnsi="宋体" w:eastAsia="宋体" w:cs="宋体"/>
          <w:kern w:val="0"/>
          <w:sz w:val="21"/>
          <w:szCs w:val="21"/>
          <w:highlight w:val="none"/>
          <w:lang w:val="en-US" w:eastAsia="zh-CN" w:bidi="ar"/>
        </w:rPr>
        <w:t>监督部门</w:t>
      </w:r>
      <w:r>
        <w:rPr>
          <w:rFonts w:hint="eastAsia" w:ascii="宋体" w:hAnsi="宋体" w:eastAsia="宋体" w:cs="宋体"/>
          <w:kern w:val="0"/>
          <w:sz w:val="21"/>
          <w:szCs w:val="21"/>
          <w:highlight w:val="none"/>
          <w:lang w:bidi="ar"/>
        </w:rPr>
        <w:t>一份。</w:t>
      </w:r>
    </w:p>
    <w:p w14:paraId="0B87C3F6">
      <w:pPr>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第十六条、合同生效</w:t>
      </w:r>
    </w:p>
    <w:p w14:paraId="6224A3FE">
      <w:pPr>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合同订立时间：</w:t>
      </w:r>
      <w:r>
        <w:rPr>
          <w:rFonts w:hint="eastAsia" w:ascii="宋体" w:hAnsi="宋体" w:eastAsia="宋体" w:cs="宋体"/>
          <w:sz w:val="21"/>
          <w:szCs w:val="21"/>
          <w:highlight w:val="none"/>
          <w:u w:val="single"/>
        </w:rPr>
        <w:t>　　　</w:t>
      </w:r>
      <w:r>
        <w:rPr>
          <w:rFonts w:hint="eastAsia" w:ascii="宋体" w:hAnsi="宋体" w:eastAsia="宋体" w:cs="宋体"/>
          <w:kern w:val="0"/>
          <w:sz w:val="21"/>
          <w:szCs w:val="21"/>
          <w:highlight w:val="none"/>
          <w:lang w:bidi="ar"/>
        </w:rPr>
        <w:t>年</w:t>
      </w:r>
      <w:r>
        <w:rPr>
          <w:rFonts w:hint="eastAsia" w:ascii="宋体" w:hAnsi="宋体" w:eastAsia="宋体" w:cs="宋体"/>
          <w:sz w:val="21"/>
          <w:szCs w:val="21"/>
          <w:highlight w:val="none"/>
          <w:u w:val="single"/>
        </w:rPr>
        <w:t>　　　</w:t>
      </w:r>
      <w:r>
        <w:rPr>
          <w:rFonts w:hint="eastAsia" w:ascii="宋体" w:hAnsi="宋体" w:eastAsia="宋体" w:cs="宋体"/>
          <w:kern w:val="0"/>
          <w:sz w:val="21"/>
          <w:szCs w:val="21"/>
          <w:highlight w:val="none"/>
          <w:lang w:bidi="ar"/>
        </w:rPr>
        <w:t>月</w:t>
      </w:r>
      <w:r>
        <w:rPr>
          <w:rFonts w:hint="eastAsia" w:ascii="宋体" w:hAnsi="宋体" w:eastAsia="宋体" w:cs="宋体"/>
          <w:sz w:val="21"/>
          <w:szCs w:val="21"/>
          <w:highlight w:val="none"/>
          <w:u w:val="single"/>
        </w:rPr>
        <w:t>　　　</w:t>
      </w:r>
      <w:r>
        <w:rPr>
          <w:rFonts w:hint="eastAsia" w:ascii="宋体" w:hAnsi="宋体" w:eastAsia="宋体" w:cs="宋体"/>
          <w:kern w:val="0"/>
          <w:sz w:val="21"/>
          <w:szCs w:val="21"/>
          <w:highlight w:val="none"/>
          <w:lang w:bidi="ar"/>
        </w:rPr>
        <w:t>日</w:t>
      </w:r>
    </w:p>
    <w:p w14:paraId="7478862D">
      <w:pPr>
        <w:spacing w:line="44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kern w:val="0"/>
          <w:sz w:val="21"/>
          <w:szCs w:val="21"/>
          <w:highlight w:val="none"/>
          <w:lang w:bidi="ar"/>
        </w:rPr>
        <w:t xml:space="preserve">合同订立地点： </w:t>
      </w:r>
      <w:r>
        <w:rPr>
          <w:rFonts w:hint="eastAsia" w:ascii="宋体" w:hAnsi="宋体" w:eastAsia="宋体" w:cs="宋体"/>
          <w:sz w:val="21"/>
          <w:szCs w:val="21"/>
          <w:highlight w:val="none"/>
          <w:u w:val="single"/>
        </w:rPr>
        <w:t>　                　　</w:t>
      </w:r>
    </w:p>
    <w:p w14:paraId="77FE2729">
      <w:pPr>
        <w:spacing w:line="440" w:lineRule="exact"/>
        <w:ind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本合同双方约定：经双方盖章后生效。</w:t>
      </w:r>
    </w:p>
    <w:p w14:paraId="18A59BDF">
      <w:pPr>
        <w:spacing w:line="440" w:lineRule="exact"/>
        <w:rPr>
          <w:rFonts w:hint="eastAsia" w:ascii="宋体" w:hAnsi="宋体" w:eastAsia="宋体" w:cs="宋体"/>
          <w:sz w:val="21"/>
          <w:szCs w:val="21"/>
          <w:highlight w:val="none"/>
        </w:rPr>
      </w:pPr>
    </w:p>
    <w:p w14:paraId="5E856569">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（盖单位章）　　　乙方：</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（盖单位章）</w:t>
      </w:r>
    </w:p>
    <w:p w14:paraId="63526448">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住所地址：</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bidi="ar"/>
        </w:rPr>
        <w:t>住所地址：</w:t>
      </w:r>
      <w:r>
        <w:rPr>
          <w:rFonts w:hint="eastAsia" w:ascii="宋体" w:hAnsi="宋体" w:eastAsia="宋体" w:cs="宋体"/>
          <w:sz w:val="21"/>
          <w:szCs w:val="21"/>
          <w:highlight w:val="none"/>
          <w:u w:val="single"/>
        </w:rPr>
        <w:t>　　　　　　</w:t>
      </w:r>
    </w:p>
    <w:p w14:paraId="03EA335B">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法定代表人：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bidi="ar"/>
        </w:rPr>
        <w:t>法定代表人：</w:t>
      </w:r>
      <w:r>
        <w:rPr>
          <w:rFonts w:hint="eastAsia" w:ascii="宋体" w:hAnsi="宋体" w:eastAsia="宋体" w:cs="宋体"/>
          <w:sz w:val="21"/>
          <w:szCs w:val="21"/>
          <w:highlight w:val="none"/>
          <w:u w:val="single"/>
        </w:rPr>
        <w:t xml:space="preserve">　　　　　　 </w:t>
      </w:r>
    </w:p>
    <w:p w14:paraId="0FC3231E">
      <w:pPr>
        <w:spacing w:line="440" w:lineRule="exact"/>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其委托代理人：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bidi="ar"/>
        </w:rPr>
        <w:t>　    　 委托代理人：</w:t>
      </w:r>
      <w:r>
        <w:rPr>
          <w:rFonts w:hint="eastAsia" w:ascii="宋体" w:hAnsi="宋体" w:eastAsia="宋体" w:cs="宋体"/>
          <w:sz w:val="21"/>
          <w:szCs w:val="21"/>
          <w:highlight w:val="none"/>
          <w:u w:val="single"/>
        </w:rPr>
        <w:t xml:space="preserve">　　　  　　　 </w:t>
      </w:r>
    </w:p>
    <w:p w14:paraId="43CBE801">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bidi="ar"/>
        </w:rPr>
        <w:t>　    　 电话：</w:t>
      </w:r>
      <w:r>
        <w:rPr>
          <w:rFonts w:hint="eastAsia" w:ascii="宋体" w:hAnsi="宋体" w:eastAsia="宋体" w:cs="宋体"/>
          <w:sz w:val="21"/>
          <w:szCs w:val="21"/>
          <w:highlight w:val="none"/>
          <w:u w:val="single"/>
        </w:rPr>
        <w:t xml:space="preserve">　    　             </w:t>
      </w:r>
    </w:p>
    <w:p w14:paraId="2FC8D578">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纳税人识别号：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bidi="ar"/>
        </w:rPr>
        <w:t>　       纳税人识别号：</w:t>
      </w:r>
      <w:r>
        <w:rPr>
          <w:rFonts w:hint="eastAsia" w:ascii="宋体" w:hAnsi="宋体" w:eastAsia="宋体" w:cs="宋体"/>
          <w:sz w:val="21"/>
          <w:szCs w:val="21"/>
          <w:highlight w:val="none"/>
          <w:u w:val="single"/>
        </w:rPr>
        <w:t xml:space="preserve">　　　　　　 </w:t>
      </w:r>
    </w:p>
    <w:p w14:paraId="79F05814">
      <w:pPr>
        <w:spacing w:line="440" w:lineRule="exact"/>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开户银行：</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bidi="ar"/>
        </w:rPr>
        <w:t>　　　　 开户银行：</w:t>
      </w:r>
      <w:r>
        <w:rPr>
          <w:rFonts w:hint="eastAsia" w:ascii="宋体" w:hAnsi="宋体" w:eastAsia="宋体" w:cs="宋体"/>
          <w:sz w:val="21"/>
          <w:szCs w:val="21"/>
          <w:highlight w:val="none"/>
          <w:u w:val="single"/>
        </w:rPr>
        <w:t xml:space="preserve">　　　　         </w:t>
      </w:r>
    </w:p>
    <w:p w14:paraId="1071D23D">
      <w:pPr>
        <w:spacing w:line="440" w:lineRule="exact"/>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账号：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bidi="ar"/>
        </w:rPr>
        <w:t>　　     账号：</w:t>
      </w:r>
      <w:r>
        <w:rPr>
          <w:rFonts w:hint="eastAsia" w:ascii="宋体" w:hAnsi="宋体" w:eastAsia="宋体" w:cs="宋体"/>
          <w:sz w:val="21"/>
          <w:szCs w:val="21"/>
          <w:highlight w:val="none"/>
          <w:u w:val="single"/>
        </w:rPr>
        <w:t xml:space="preserve">　　　　　　         </w:t>
      </w:r>
    </w:p>
    <w:p w14:paraId="7267F61F">
      <w:pPr>
        <w:spacing w:line="440" w:lineRule="exact"/>
        <w:ind w:firstLine="4410" w:firstLineChars="2100"/>
        <w:rPr>
          <w:rFonts w:hint="eastAsia" w:ascii="宋体" w:hAnsi="宋体" w:eastAsia="宋体" w:cs="宋体"/>
          <w:sz w:val="21"/>
          <w:szCs w:val="21"/>
          <w:highlight w:val="none"/>
          <w:u w:val="single"/>
        </w:rPr>
      </w:pPr>
    </w:p>
    <w:p w14:paraId="0E13F880">
      <w:pPr>
        <w:spacing w:line="440" w:lineRule="exact"/>
        <w:ind w:firstLine="4410" w:firstLineChars="21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14:paraId="2992C3AC">
      <w:pPr>
        <w:bidi w:val="0"/>
        <w:jc w:val="center"/>
        <w:rPr>
          <w:szCs w:val="20"/>
        </w:rPr>
      </w:pPr>
      <w:r>
        <w:rPr>
          <w:rFonts w:hint="eastAsia" w:ascii="宋体" w:hAnsi="宋体" w:cs="宋体"/>
          <w:szCs w:val="36"/>
        </w:rPr>
        <w:br w:type="page"/>
      </w:r>
      <w:bookmarkEnd w:id="257"/>
      <w:bookmarkEnd w:id="258"/>
      <w:bookmarkEnd w:id="259"/>
      <w:bookmarkEnd w:id="260"/>
      <w:bookmarkStart w:id="261" w:name="_Toc119784539"/>
      <w:bookmarkStart w:id="262" w:name="_Toc311235837"/>
      <w:bookmarkStart w:id="263" w:name="_Toc610"/>
      <w:r>
        <w:rPr>
          <w:rFonts w:hint="eastAsia"/>
          <w:b/>
          <w:bCs/>
          <w:sz w:val="32"/>
          <w:szCs w:val="40"/>
        </w:rPr>
        <w:t xml:space="preserve">第五章 </w:t>
      </w:r>
      <w:bookmarkEnd w:id="261"/>
      <w:bookmarkEnd w:id="262"/>
      <w:bookmarkEnd w:id="263"/>
      <w:r>
        <w:rPr>
          <w:rFonts w:hint="eastAsia"/>
          <w:b/>
          <w:bCs/>
          <w:sz w:val="32"/>
          <w:szCs w:val="40"/>
          <w:lang w:val="en-US" w:eastAsia="zh-CN"/>
        </w:rPr>
        <w:t>采购内容及要求</w:t>
      </w:r>
    </w:p>
    <w:p w14:paraId="62A9C35C">
      <w:pPr>
        <w:rPr>
          <w:rFonts w:ascii="宋体" w:hAnsi="宋体" w:cs="宋体"/>
          <w:sz w:val="32"/>
          <w:szCs w:val="32"/>
        </w:rPr>
      </w:pPr>
      <w:r>
        <w:rPr>
          <w:rFonts w:hint="eastAsia" w:ascii="宋体" w:hAnsi="宋体" w:cs="宋体"/>
          <w:b/>
          <w:bCs/>
          <w:sz w:val="32"/>
          <w:szCs w:val="32"/>
        </w:rPr>
        <w:t>主要</w:t>
      </w:r>
      <w:r>
        <w:rPr>
          <w:rFonts w:hint="eastAsia" w:ascii="宋体" w:hAnsi="宋体" w:cs="宋体"/>
          <w:b/>
          <w:bCs/>
          <w:sz w:val="32"/>
          <w:szCs w:val="32"/>
          <w:lang w:val="en-US" w:eastAsia="zh-CN"/>
        </w:rPr>
        <w:t>采购</w:t>
      </w:r>
      <w:r>
        <w:rPr>
          <w:rFonts w:hint="eastAsia" w:ascii="宋体" w:hAnsi="宋体" w:cs="宋体"/>
          <w:b/>
          <w:bCs/>
          <w:sz w:val="32"/>
          <w:szCs w:val="32"/>
        </w:rPr>
        <w:t>内容</w:t>
      </w:r>
      <w:r>
        <w:rPr>
          <w:rFonts w:hint="eastAsia" w:ascii="宋体" w:hAnsi="宋体" w:cs="宋体"/>
          <w:sz w:val="32"/>
          <w:szCs w:val="32"/>
        </w:rPr>
        <w:t>：</w:t>
      </w:r>
    </w:p>
    <w:p w14:paraId="4E9554AE">
      <w:pPr>
        <w:spacing w:line="360" w:lineRule="auto"/>
        <w:ind w:firstLine="480" w:firstLineChars="200"/>
        <w:rPr>
          <w:rFonts w:ascii="宋体" w:hAnsi="宋体" w:cs="宋体"/>
          <w:sz w:val="24"/>
        </w:rPr>
      </w:pPr>
      <w:r>
        <w:rPr>
          <w:rFonts w:hint="eastAsia" w:ascii="宋体" w:hAnsi="宋体" w:cs="宋体"/>
          <w:sz w:val="24"/>
        </w:rPr>
        <w:t xml:space="preserve">一、 </w:t>
      </w:r>
      <w:r>
        <w:rPr>
          <w:rFonts w:hint="eastAsia" w:ascii="宋体" w:hAnsi="宋体" w:cs="宋体"/>
          <w:sz w:val="24"/>
          <w:lang w:val="en-US" w:eastAsia="zh-CN"/>
        </w:rPr>
        <w:t>采购</w:t>
      </w:r>
      <w:r>
        <w:rPr>
          <w:rFonts w:hint="eastAsia" w:ascii="宋体" w:hAnsi="宋体" w:cs="宋体"/>
          <w:sz w:val="24"/>
        </w:rPr>
        <w:t>内容：</w:t>
      </w:r>
    </w:p>
    <w:p w14:paraId="6E39ABC3">
      <w:pPr>
        <w:spacing w:line="360" w:lineRule="auto"/>
        <w:ind w:firstLine="480" w:firstLineChars="200"/>
        <w:rPr>
          <w:rFonts w:hint="eastAsia" w:ascii="宋体" w:hAnsi="宋体" w:cs="宋体"/>
          <w:sz w:val="24"/>
        </w:rPr>
      </w:pPr>
      <w:r>
        <w:rPr>
          <w:rFonts w:hint="eastAsia" w:ascii="宋体" w:hAnsi="宋体" w:cs="宋体"/>
          <w:sz w:val="24"/>
        </w:rPr>
        <w:t>林业局森林防火监控系统设备及服务采购项目，</w:t>
      </w:r>
      <w:r>
        <w:rPr>
          <w:rFonts w:hint="eastAsia" w:ascii="宋体" w:hAnsi="宋体" w:cs="宋体"/>
          <w:sz w:val="24"/>
          <w:lang w:val="en-US" w:eastAsia="zh-CN"/>
        </w:rPr>
        <w:t>共计采购建设48个点位和监控中心及视频分析管理系统，48个点位分布于多</w:t>
      </w:r>
      <w:r>
        <w:rPr>
          <w:rFonts w:hint="eastAsia" w:ascii="宋体" w:hAnsi="宋体" w:cs="宋体"/>
          <w:sz w:val="24"/>
        </w:rPr>
        <w:t>个乡镇</w:t>
      </w:r>
      <w:r>
        <w:rPr>
          <w:rFonts w:hint="eastAsia" w:ascii="宋体" w:hAnsi="宋体" w:cs="宋体"/>
          <w:sz w:val="24"/>
          <w:lang w:val="en-US" w:eastAsia="zh-CN"/>
        </w:rPr>
        <w:t>防火重点点位，均采用太阳能供电和4G网络传输方式，监控中心部署在林业局，中心综合</w:t>
      </w:r>
      <w:r>
        <w:rPr>
          <w:rFonts w:hint="eastAsia" w:ascii="宋体" w:hAnsi="宋体" w:cs="宋体"/>
          <w:sz w:val="24"/>
        </w:rPr>
        <w:t>管理平台、预警系统</w:t>
      </w:r>
      <w:r>
        <w:rPr>
          <w:rFonts w:hint="eastAsia" w:ascii="宋体" w:hAnsi="宋体" w:cs="宋体"/>
          <w:sz w:val="24"/>
          <w:lang w:eastAsia="zh-CN"/>
        </w:rPr>
        <w:t>、</w:t>
      </w:r>
      <w:r>
        <w:rPr>
          <w:rFonts w:hint="eastAsia" w:ascii="宋体" w:hAnsi="宋体" w:cs="宋体"/>
          <w:sz w:val="24"/>
          <w:lang w:val="en-US" w:eastAsia="zh-CN"/>
        </w:rPr>
        <w:t>布控系统、</w:t>
      </w:r>
      <w:r>
        <w:rPr>
          <w:rFonts w:hint="eastAsia" w:ascii="宋体" w:hAnsi="宋体" w:cs="宋体"/>
          <w:sz w:val="24"/>
        </w:rPr>
        <w:t>多模态数据融合分析平台</w:t>
      </w:r>
      <w:r>
        <w:rPr>
          <w:rFonts w:hint="eastAsia" w:ascii="宋体" w:hAnsi="宋体" w:cs="宋体"/>
          <w:sz w:val="24"/>
          <w:lang w:eastAsia="zh-CN"/>
        </w:rPr>
        <w:t>、</w:t>
      </w:r>
      <w:r>
        <w:rPr>
          <w:rFonts w:hint="eastAsia" w:ascii="宋体" w:hAnsi="宋体" w:cs="宋体"/>
          <w:sz w:val="24"/>
        </w:rPr>
        <w:t>存储服务器以及监控显示屏、网络交换机等设备。</w:t>
      </w:r>
    </w:p>
    <w:p w14:paraId="21833E6F">
      <w:pPr>
        <w:spacing w:line="360" w:lineRule="auto"/>
        <w:ind w:firstLine="480" w:firstLineChars="200"/>
        <w:rPr>
          <w:rFonts w:ascii="宋体" w:hAnsi="宋体" w:cs="宋体"/>
          <w:sz w:val="24"/>
        </w:rPr>
      </w:pPr>
      <w:r>
        <w:rPr>
          <w:rFonts w:hint="eastAsia" w:ascii="宋体" w:hAnsi="宋体" w:cs="宋体"/>
          <w:sz w:val="24"/>
          <w:lang w:val="en-US" w:eastAsia="zh-CN"/>
        </w:rPr>
        <w:t>采购</w:t>
      </w:r>
      <w:r>
        <w:rPr>
          <w:rFonts w:hint="eastAsia" w:ascii="宋体" w:hAnsi="宋体" w:cs="宋体"/>
          <w:sz w:val="24"/>
        </w:rPr>
        <w:t>范围：</w:t>
      </w:r>
    </w:p>
    <w:p w14:paraId="32FE6104">
      <w:pPr>
        <w:spacing w:line="360" w:lineRule="auto"/>
        <w:ind w:firstLine="480" w:firstLineChars="200"/>
        <w:rPr>
          <w:rFonts w:ascii="宋体" w:hAnsi="宋体" w:cs="宋体"/>
          <w:sz w:val="24"/>
        </w:rPr>
      </w:pPr>
      <w:r>
        <w:rPr>
          <w:rFonts w:hint="eastAsia" w:ascii="宋体" w:hAnsi="宋体" w:cs="宋体"/>
          <w:sz w:val="24"/>
        </w:rPr>
        <w:t>（一）</w:t>
      </w:r>
      <w:r>
        <w:rPr>
          <w:rFonts w:hint="eastAsia" w:ascii="宋体" w:hAnsi="宋体" w:cs="宋体"/>
          <w:sz w:val="24"/>
          <w:lang w:val="en-US" w:eastAsia="zh-CN"/>
        </w:rPr>
        <w:t>服务</w:t>
      </w:r>
      <w:r>
        <w:rPr>
          <w:rFonts w:hint="eastAsia" w:ascii="宋体" w:hAnsi="宋体" w:cs="宋体"/>
          <w:sz w:val="24"/>
        </w:rPr>
        <w:t>概况</w:t>
      </w:r>
    </w:p>
    <w:p w14:paraId="33814AA3">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质保</w:t>
      </w:r>
      <w:r>
        <w:rPr>
          <w:rFonts w:hint="eastAsia" w:ascii="宋体" w:hAnsi="宋体" w:cs="宋体"/>
          <w:sz w:val="24"/>
        </w:rPr>
        <w:t>期限：本次</w:t>
      </w:r>
      <w:r>
        <w:rPr>
          <w:rFonts w:hint="eastAsia" w:ascii="宋体" w:hAnsi="宋体" w:cs="宋体"/>
          <w:sz w:val="24"/>
          <w:lang w:val="en-US" w:eastAsia="zh-CN"/>
        </w:rPr>
        <w:t>质</w:t>
      </w:r>
      <w:r>
        <w:rPr>
          <w:rFonts w:hint="eastAsia" w:ascii="宋体" w:hAnsi="宋体" w:cs="宋体"/>
          <w:sz w:val="24"/>
        </w:rPr>
        <w:t>保期1年，自</w:t>
      </w:r>
      <w:r>
        <w:rPr>
          <w:rFonts w:hint="eastAsia" w:ascii="宋体" w:hAnsi="宋体" w:cs="宋体"/>
          <w:sz w:val="24"/>
          <w:lang w:val="en-US" w:eastAsia="zh-CN"/>
        </w:rPr>
        <w:t>验收</w:t>
      </w:r>
      <w:r>
        <w:rPr>
          <w:rFonts w:hint="eastAsia" w:ascii="宋体" w:hAnsi="宋体" w:cs="宋体"/>
          <w:sz w:val="24"/>
        </w:rPr>
        <w:t>之日起算起。</w:t>
      </w:r>
    </w:p>
    <w:p w14:paraId="03AEF2A7">
      <w:pPr>
        <w:spacing w:line="360" w:lineRule="auto"/>
        <w:ind w:firstLine="480" w:firstLineChars="200"/>
        <w:rPr>
          <w:rFonts w:hint="default" w:ascii="宋体" w:hAnsi="宋体" w:cs="宋体"/>
          <w:sz w:val="24"/>
          <w:lang w:val="en-US"/>
        </w:rPr>
      </w:pPr>
      <w:r>
        <w:rPr>
          <w:rFonts w:hint="eastAsia" w:ascii="宋体" w:hAnsi="宋体" w:cs="宋体"/>
          <w:sz w:val="24"/>
        </w:rPr>
        <w:t>（二）</w:t>
      </w:r>
      <w:r>
        <w:rPr>
          <w:rFonts w:hint="eastAsia" w:ascii="宋体" w:hAnsi="宋体" w:cs="宋体"/>
          <w:sz w:val="24"/>
          <w:lang w:val="en-US" w:eastAsia="zh-CN"/>
        </w:rPr>
        <w:t>技术要求</w:t>
      </w:r>
    </w:p>
    <w:p w14:paraId="2635D830">
      <w:pPr>
        <w:spacing w:line="360" w:lineRule="auto"/>
        <w:ind w:firstLine="480" w:firstLineChars="200"/>
        <w:rPr>
          <w:rFonts w:ascii="宋体" w:hAnsi="宋体" w:cs="宋体"/>
          <w:sz w:val="24"/>
        </w:rPr>
      </w:pPr>
      <w:r>
        <w:rPr>
          <w:rFonts w:hint="eastAsia" w:ascii="宋体" w:hAnsi="宋体" w:cs="宋体"/>
          <w:sz w:val="24"/>
        </w:rPr>
        <w:t>（1）硬件设备：所有设备必须符合国家相关质量标准和行业规范，具备相应的质量检测报告和认证文件。如太阳能电池组件需符合 IEC、TUV 等相关认证及 “国家太阳能光伏产品质量监督检验中心”的检测。设备应选用优质材料制造，具有良好的物理性能和化学稳定性，能够承受正常使用过程中的各种应力和环境因素影响。</w:t>
      </w:r>
    </w:p>
    <w:p w14:paraId="04D879EB">
      <w:pPr>
        <w:spacing w:line="360" w:lineRule="auto"/>
        <w:ind w:firstLine="480" w:firstLineChars="200"/>
        <w:rPr>
          <w:rFonts w:hint="eastAsia" w:ascii="宋体" w:hAnsi="宋体" w:cs="宋体"/>
          <w:sz w:val="24"/>
        </w:rPr>
      </w:pPr>
      <w:r>
        <w:rPr>
          <w:rFonts w:hint="eastAsia" w:ascii="宋体" w:hAnsi="宋体" w:cs="宋体"/>
          <w:sz w:val="24"/>
        </w:rPr>
        <w:t>对于设备中的关键部件，如摄像机、太阳能板、存储等，应采用知名品牌和高品质产品，以确保设备的核心性能和可靠性。投标方需提供关键部件的详细规格说明和质量保证文件。</w:t>
      </w:r>
    </w:p>
    <w:p w14:paraId="1E53633E">
      <w:pPr>
        <w:spacing w:line="360" w:lineRule="auto"/>
        <w:ind w:firstLine="480" w:firstLineChars="200"/>
        <w:rPr>
          <w:rFonts w:ascii="宋体" w:hAnsi="宋体" w:cs="宋体"/>
          <w:sz w:val="24"/>
        </w:rPr>
      </w:pPr>
      <w:r>
        <w:rPr>
          <w:rFonts w:hint="eastAsia" w:ascii="宋体" w:hAnsi="宋体" w:cs="宋体"/>
          <w:sz w:val="24"/>
        </w:rPr>
        <w:t>（2）软件部分：设备与系统平台之间应具备高度的兼容性，能够准确将采集的数据传输至后端平台进行处理和分析。系统平台应能够支持多种设备类型和通信协议的接入，方便后期设备的扩展和升级。</w:t>
      </w:r>
      <w:r>
        <w:rPr>
          <w:rFonts w:hint="eastAsia" w:ascii="宋体" w:hAnsi="宋体" w:cs="宋体"/>
          <w:sz w:val="24"/>
          <w:lang w:val="en-US" w:eastAsia="zh-CN"/>
        </w:rPr>
        <w:t>各个</w:t>
      </w:r>
      <w:r>
        <w:rPr>
          <w:rFonts w:hint="eastAsia" w:ascii="宋体" w:hAnsi="宋体" w:cs="宋体"/>
          <w:sz w:val="24"/>
        </w:rPr>
        <w:t>平台软件应能够与不同操作系统和数据库系统兼容，确保数据的存储、管理和查询功能正常运行等；</w:t>
      </w:r>
    </w:p>
    <w:p w14:paraId="468F21F4">
      <w:pPr>
        <w:spacing w:line="360" w:lineRule="auto"/>
        <w:ind w:firstLine="480" w:firstLineChars="200"/>
        <w:rPr>
          <w:rFonts w:ascii="宋体" w:hAnsi="宋体" w:cs="宋体"/>
          <w:sz w:val="24"/>
        </w:rPr>
      </w:pPr>
      <w:r>
        <w:rPr>
          <w:rFonts w:hint="eastAsia" w:ascii="宋体" w:hAnsi="宋体" w:cs="宋体"/>
          <w:sz w:val="24"/>
        </w:rPr>
        <w:t>（3）其他内容：考虑到未来可能与其他相关系统（如气象监测系统、地理信息系统等）进行集成，所提供的系统应具备良好的开放性和兼容性，能够通过标准接口和数据格式与第三方系统进行数据交互和共享，实现更全面的森林防火监测和预警功能；</w:t>
      </w:r>
    </w:p>
    <w:p w14:paraId="2D6ACA0C">
      <w:pPr>
        <w:spacing w:line="360" w:lineRule="auto"/>
        <w:ind w:firstLine="480" w:firstLineChars="200"/>
        <w:rPr>
          <w:rFonts w:ascii="宋体" w:hAnsi="宋体"/>
          <w:sz w:val="24"/>
        </w:rPr>
      </w:pPr>
    </w:p>
    <w:p w14:paraId="7AAD3F8D">
      <w:pPr>
        <w:spacing w:line="360" w:lineRule="auto"/>
        <w:ind w:firstLine="480" w:firstLineChars="200"/>
        <w:rPr>
          <w:rFonts w:ascii="宋体" w:hAnsi="宋体"/>
          <w:sz w:val="24"/>
        </w:rPr>
        <w:sectPr>
          <w:pgSz w:w="11906" w:h="16838"/>
          <w:pgMar w:top="1134" w:right="1134" w:bottom="1418" w:left="1418" w:header="851" w:footer="992" w:gutter="0"/>
          <w:cols w:space="425" w:num="1"/>
          <w:docGrid w:type="lines" w:linePitch="312" w:charSpace="0"/>
        </w:sectPr>
      </w:pPr>
    </w:p>
    <w:p w14:paraId="53F4ECDE">
      <w:pPr>
        <w:bidi w:val="0"/>
        <w:jc w:val="center"/>
        <w:rPr>
          <w:rFonts w:hint="eastAsia"/>
          <w:b/>
          <w:bCs/>
          <w:sz w:val="32"/>
          <w:szCs w:val="40"/>
        </w:rPr>
      </w:pPr>
      <w:bookmarkStart w:id="264" w:name="_Toc26319"/>
      <w:bookmarkStart w:id="265" w:name="_Toc775"/>
      <w:bookmarkStart w:id="266" w:name="_Toc119784541"/>
      <w:r>
        <w:rPr>
          <w:rFonts w:hint="eastAsia"/>
          <w:b/>
          <w:bCs/>
          <w:sz w:val="32"/>
          <w:szCs w:val="40"/>
          <w:lang w:val="en-US" w:eastAsia="zh-CN"/>
        </w:rPr>
        <w:t xml:space="preserve">第六章 </w:t>
      </w:r>
      <w:bookmarkEnd w:id="264"/>
      <w:r>
        <w:rPr>
          <w:rFonts w:hint="eastAsia"/>
          <w:b/>
          <w:bCs/>
          <w:sz w:val="32"/>
          <w:szCs w:val="40"/>
        </w:rPr>
        <w:t>采购项目清单</w:t>
      </w:r>
    </w:p>
    <w:p w14:paraId="4228A58F">
      <w:pPr>
        <w:bidi w:val="0"/>
        <w:jc w:val="center"/>
        <w:rPr>
          <w:rFonts w:hint="eastAsia"/>
          <w:b/>
          <w:bCs/>
          <w:sz w:val="32"/>
          <w:szCs w:val="40"/>
          <w:lang w:val="en-US" w:eastAsia="zh-CN"/>
        </w:rPr>
      </w:pPr>
    </w:p>
    <w:p w14:paraId="008CEC01">
      <w:pPr>
        <w:bidi w:val="0"/>
        <w:jc w:val="center"/>
        <w:rPr>
          <w:rFonts w:hint="eastAsia"/>
          <w:b/>
          <w:bCs/>
          <w:sz w:val="32"/>
          <w:szCs w:val="40"/>
          <w:lang w:val="en-US" w:eastAsia="zh-CN"/>
        </w:rPr>
      </w:pPr>
    </w:p>
    <w:p w14:paraId="25D293F8">
      <w:pPr>
        <w:bidi w:val="0"/>
        <w:jc w:val="center"/>
        <w:rPr>
          <w:rFonts w:hint="eastAsia"/>
          <w:b/>
          <w:bCs/>
          <w:sz w:val="32"/>
          <w:szCs w:val="40"/>
          <w:lang w:val="en-US" w:eastAsia="zh-CN"/>
        </w:rPr>
      </w:pPr>
    </w:p>
    <w:p w14:paraId="7E4CE286">
      <w:pPr>
        <w:bidi w:val="0"/>
        <w:jc w:val="center"/>
        <w:rPr>
          <w:rFonts w:hint="eastAsia"/>
          <w:b/>
          <w:bCs/>
          <w:sz w:val="32"/>
          <w:szCs w:val="40"/>
          <w:lang w:val="en-US" w:eastAsia="zh-CN"/>
        </w:rPr>
      </w:pPr>
    </w:p>
    <w:p w14:paraId="32C40E43">
      <w:pPr>
        <w:bidi w:val="0"/>
        <w:jc w:val="center"/>
        <w:rPr>
          <w:rFonts w:hint="eastAsia"/>
          <w:b/>
          <w:bCs/>
          <w:sz w:val="32"/>
          <w:szCs w:val="40"/>
          <w:lang w:val="en-US" w:eastAsia="zh-CN"/>
        </w:rPr>
      </w:pPr>
    </w:p>
    <w:p w14:paraId="119E14BB">
      <w:pPr>
        <w:bidi w:val="0"/>
        <w:jc w:val="center"/>
        <w:rPr>
          <w:rFonts w:hint="eastAsia"/>
          <w:b/>
          <w:bCs/>
          <w:sz w:val="32"/>
          <w:szCs w:val="40"/>
          <w:lang w:val="en-US" w:eastAsia="zh-CN"/>
        </w:rPr>
      </w:pPr>
      <w:r>
        <w:rPr>
          <w:rFonts w:hint="eastAsia"/>
          <w:b/>
          <w:bCs/>
          <w:sz w:val="32"/>
          <w:szCs w:val="40"/>
          <w:lang w:val="en-US" w:eastAsia="zh-CN"/>
        </w:rPr>
        <w:t>（另附）</w:t>
      </w:r>
    </w:p>
    <w:p w14:paraId="7355421A">
      <w:pPr>
        <w:widowControl w:val="0"/>
        <w:numPr>
          <w:ilvl w:val="0"/>
          <w:numId w:val="0"/>
        </w:numPr>
        <w:bidi w:val="0"/>
        <w:jc w:val="both"/>
        <w:rPr>
          <w:rFonts w:hint="eastAsia"/>
          <w:lang w:eastAsia="zh-CN"/>
        </w:rPr>
      </w:pPr>
    </w:p>
    <w:p w14:paraId="3180A17B">
      <w:pPr>
        <w:widowControl w:val="0"/>
        <w:numPr>
          <w:ilvl w:val="0"/>
          <w:numId w:val="0"/>
        </w:numPr>
        <w:bidi w:val="0"/>
        <w:jc w:val="both"/>
        <w:rPr>
          <w:rFonts w:hint="eastAsia"/>
          <w:lang w:eastAsia="zh-CN"/>
        </w:rPr>
        <w:sectPr>
          <w:pgSz w:w="11906" w:h="16838"/>
          <w:pgMar w:top="1134" w:right="1134" w:bottom="1418" w:left="1418" w:header="851" w:footer="992" w:gutter="0"/>
          <w:cols w:space="425" w:num="1"/>
          <w:docGrid w:type="lines" w:linePitch="312" w:charSpace="0"/>
        </w:sectPr>
      </w:pPr>
    </w:p>
    <w:p w14:paraId="6664897A">
      <w:pPr>
        <w:bidi w:val="0"/>
        <w:jc w:val="center"/>
        <w:rPr>
          <w:rFonts w:hint="eastAsia"/>
          <w:b/>
          <w:bCs/>
          <w:sz w:val="32"/>
          <w:szCs w:val="40"/>
          <w:lang w:val="en-US" w:eastAsia="zh-CN"/>
        </w:rPr>
      </w:pPr>
      <w:r>
        <w:rPr>
          <w:rFonts w:hint="eastAsia"/>
          <w:b/>
          <w:bCs/>
          <w:sz w:val="32"/>
          <w:szCs w:val="40"/>
          <w:lang w:val="en-US" w:eastAsia="zh-CN"/>
        </w:rPr>
        <w:t>第七章  投标文件格式</w:t>
      </w:r>
      <w:bookmarkEnd w:id="265"/>
      <w:bookmarkEnd w:id="266"/>
    </w:p>
    <w:p w14:paraId="63822527">
      <w:pPr>
        <w:ind w:firstLine="420" w:firstLineChars="200"/>
        <w:rPr>
          <w:rFonts w:ascii="宋体" w:hAnsi="宋体" w:cs="宋体"/>
          <w:szCs w:val="21"/>
        </w:rPr>
      </w:pPr>
    </w:p>
    <w:p w14:paraId="40EC6ECA">
      <w:pPr>
        <w:spacing w:line="360" w:lineRule="auto"/>
        <w:ind w:right="-197"/>
        <w:jc w:val="center"/>
        <w:rPr>
          <w:rFonts w:ascii="宋体" w:hAnsi="宋体" w:cs="宋体"/>
          <w:b/>
          <w:sz w:val="28"/>
          <w:szCs w:val="28"/>
        </w:rPr>
      </w:pPr>
    </w:p>
    <w:p w14:paraId="47A60E0D">
      <w:pPr>
        <w:spacing w:line="360" w:lineRule="auto"/>
        <w:ind w:right="-197"/>
        <w:jc w:val="center"/>
        <w:rPr>
          <w:rFonts w:ascii="宋体" w:hAnsi="宋体" w:cs="宋体"/>
          <w:b/>
          <w:sz w:val="28"/>
          <w:szCs w:val="28"/>
          <w:u w:val="single"/>
        </w:rPr>
      </w:pPr>
      <w:r>
        <w:rPr>
          <w:rFonts w:hint="eastAsia" w:ascii="宋体" w:hAnsi="宋体" w:cs="宋体"/>
          <w:b/>
          <w:sz w:val="28"/>
          <w:szCs w:val="28"/>
        </w:rPr>
        <w:t>___________________（项目名称）</w:t>
      </w:r>
    </w:p>
    <w:p w14:paraId="43825477">
      <w:pPr>
        <w:spacing w:line="360" w:lineRule="auto"/>
        <w:ind w:right="-197"/>
        <w:jc w:val="left"/>
        <w:rPr>
          <w:rFonts w:ascii="宋体" w:hAnsi="宋体" w:cs="宋体"/>
          <w:b/>
          <w:szCs w:val="21"/>
        </w:rPr>
      </w:pPr>
    </w:p>
    <w:p w14:paraId="79E2E98F">
      <w:pPr>
        <w:spacing w:line="360" w:lineRule="auto"/>
        <w:ind w:right="-197"/>
        <w:rPr>
          <w:rFonts w:ascii="宋体" w:hAnsi="宋体" w:cs="宋体"/>
          <w:b/>
          <w:szCs w:val="21"/>
        </w:rPr>
      </w:pPr>
    </w:p>
    <w:p w14:paraId="4C905F87">
      <w:pPr>
        <w:spacing w:line="360" w:lineRule="auto"/>
        <w:ind w:right="-197"/>
        <w:jc w:val="center"/>
        <w:rPr>
          <w:rFonts w:ascii="宋体" w:hAnsi="宋体" w:cs="宋体"/>
          <w:b/>
          <w:sz w:val="80"/>
          <w:szCs w:val="80"/>
          <w:u w:val="single"/>
        </w:rPr>
      </w:pPr>
      <w:r>
        <w:rPr>
          <w:rFonts w:hint="eastAsia" w:ascii="宋体" w:hAnsi="宋体" w:cs="宋体"/>
          <w:b/>
          <w:sz w:val="80"/>
          <w:szCs w:val="80"/>
        </w:rPr>
        <w:t xml:space="preserve">响 应 文 件 </w:t>
      </w:r>
    </w:p>
    <w:p w14:paraId="48D6EAAC">
      <w:pPr>
        <w:spacing w:line="360" w:lineRule="auto"/>
        <w:ind w:right="-197" w:firstLine="2693" w:firstLineChars="958"/>
        <w:rPr>
          <w:rFonts w:ascii="宋体" w:hAnsi="宋体" w:cs="宋体"/>
          <w:b/>
          <w:sz w:val="28"/>
          <w:szCs w:val="28"/>
        </w:rPr>
      </w:pPr>
      <w:r>
        <w:rPr>
          <w:rFonts w:hint="eastAsia" w:ascii="宋体" w:hAnsi="宋体" w:cs="宋体"/>
          <w:b/>
          <w:sz w:val="28"/>
          <w:szCs w:val="28"/>
        </w:rPr>
        <w:t>采购编号：</w:t>
      </w:r>
    </w:p>
    <w:p w14:paraId="622226C5">
      <w:pPr>
        <w:spacing w:line="360" w:lineRule="auto"/>
        <w:ind w:right="-197"/>
        <w:rPr>
          <w:rFonts w:ascii="宋体" w:hAnsi="宋体" w:cs="宋体"/>
          <w:b/>
          <w:sz w:val="28"/>
          <w:szCs w:val="28"/>
        </w:rPr>
      </w:pPr>
    </w:p>
    <w:p w14:paraId="32128341">
      <w:pPr>
        <w:spacing w:line="360" w:lineRule="auto"/>
        <w:ind w:right="-197"/>
        <w:rPr>
          <w:rFonts w:ascii="宋体" w:hAnsi="宋体" w:cs="宋体"/>
          <w:b/>
          <w:sz w:val="28"/>
          <w:szCs w:val="28"/>
        </w:rPr>
      </w:pPr>
    </w:p>
    <w:p w14:paraId="5D8140A1">
      <w:pPr>
        <w:spacing w:line="360" w:lineRule="auto"/>
        <w:ind w:right="-197"/>
        <w:rPr>
          <w:rFonts w:ascii="宋体" w:hAnsi="宋体" w:cs="宋体"/>
          <w:b/>
          <w:sz w:val="28"/>
          <w:szCs w:val="28"/>
        </w:rPr>
      </w:pPr>
    </w:p>
    <w:p w14:paraId="49D78510">
      <w:pPr>
        <w:spacing w:line="360" w:lineRule="auto"/>
        <w:ind w:right="-197"/>
        <w:rPr>
          <w:rFonts w:ascii="宋体" w:hAnsi="宋体" w:cs="宋体"/>
          <w:b/>
          <w:sz w:val="28"/>
          <w:szCs w:val="28"/>
        </w:rPr>
      </w:pPr>
    </w:p>
    <w:p w14:paraId="2DB51C75">
      <w:pPr>
        <w:spacing w:line="360" w:lineRule="auto"/>
        <w:ind w:right="-197"/>
        <w:rPr>
          <w:rFonts w:ascii="宋体" w:hAnsi="宋体" w:cs="宋体"/>
          <w:b/>
          <w:sz w:val="28"/>
          <w:szCs w:val="28"/>
        </w:rPr>
      </w:pPr>
    </w:p>
    <w:p w14:paraId="170DEC9F">
      <w:pPr>
        <w:spacing w:line="360" w:lineRule="auto"/>
        <w:ind w:right="-197"/>
        <w:rPr>
          <w:rFonts w:ascii="宋体" w:hAnsi="宋体" w:cs="宋体"/>
          <w:b/>
          <w:sz w:val="28"/>
          <w:szCs w:val="28"/>
        </w:rPr>
      </w:pPr>
    </w:p>
    <w:p w14:paraId="32C3C19D">
      <w:pPr>
        <w:spacing w:line="360" w:lineRule="auto"/>
        <w:ind w:right="-197" w:firstLine="1127" w:firstLineChars="401"/>
        <w:jc w:val="left"/>
        <w:rPr>
          <w:rFonts w:ascii="宋体" w:hAnsi="宋体"/>
          <w:b/>
          <w:sz w:val="28"/>
          <w:szCs w:val="28"/>
        </w:rPr>
      </w:pPr>
    </w:p>
    <w:p w14:paraId="3F6DADCE">
      <w:pPr>
        <w:spacing w:line="360" w:lineRule="auto"/>
        <w:ind w:right="-197" w:firstLine="1127" w:firstLineChars="401"/>
        <w:jc w:val="left"/>
        <w:rPr>
          <w:rFonts w:ascii="宋体" w:hAnsi="宋体"/>
          <w:b/>
          <w:sz w:val="28"/>
          <w:szCs w:val="28"/>
        </w:rPr>
      </w:pPr>
    </w:p>
    <w:p w14:paraId="214D57C4">
      <w:pPr>
        <w:spacing w:line="360" w:lineRule="auto"/>
        <w:ind w:right="-197" w:firstLine="1127" w:firstLineChars="401"/>
        <w:jc w:val="left"/>
        <w:rPr>
          <w:rFonts w:ascii="宋体" w:hAnsi="宋体"/>
          <w:b/>
          <w:sz w:val="28"/>
          <w:szCs w:val="28"/>
        </w:rPr>
      </w:pPr>
    </w:p>
    <w:p w14:paraId="5A6AEF67">
      <w:pPr>
        <w:spacing w:line="360" w:lineRule="auto"/>
        <w:ind w:right="-197" w:firstLine="1127" w:firstLineChars="401"/>
        <w:jc w:val="left"/>
        <w:rPr>
          <w:rFonts w:ascii="宋体" w:hAnsi="宋体"/>
          <w:b/>
          <w:sz w:val="28"/>
          <w:szCs w:val="28"/>
          <w:u w:val="single"/>
        </w:rPr>
      </w:pPr>
      <w:r>
        <w:rPr>
          <w:rFonts w:hint="eastAsia" w:ascii="宋体" w:hAnsi="宋体"/>
          <w:b/>
          <w:sz w:val="28"/>
          <w:szCs w:val="28"/>
        </w:rPr>
        <w:t>投标人：</w:t>
      </w:r>
      <w:r>
        <w:rPr>
          <w:rFonts w:ascii="宋体" w:hAnsi="宋体"/>
          <w:b/>
          <w:sz w:val="28"/>
          <w:szCs w:val="28"/>
          <w:u w:val="single"/>
        </w:rPr>
        <w:t xml:space="preserve">                         </w:t>
      </w:r>
      <w:r>
        <w:rPr>
          <w:rFonts w:hint="eastAsia" w:ascii="宋体" w:hAnsi="宋体"/>
          <w:b/>
          <w:sz w:val="28"/>
          <w:szCs w:val="28"/>
        </w:rPr>
        <w:t>（电子签章）</w:t>
      </w:r>
    </w:p>
    <w:p w14:paraId="744C60B6">
      <w:pPr>
        <w:spacing w:line="360" w:lineRule="auto"/>
        <w:ind w:right="-197" w:firstLine="1130" w:firstLineChars="402"/>
        <w:jc w:val="left"/>
        <w:rPr>
          <w:rFonts w:ascii="宋体" w:hAnsi="宋体"/>
          <w:b/>
          <w:sz w:val="28"/>
          <w:szCs w:val="28"/>
        </w:rPr>
      </w:pPr>
      <w:r>
        <w:rPr>
          <w:rFonts w:hint="eastAsia" w:ascii="宋体" w:hAnsi="宋体"/>
          <w:b/>
          <w:sz w:val="28"/>
          <w:szCs w:val="28"/>
        </w:rPr>
        <w:t>法定代表人或其委托代理人：</w:t>
      </w:r>
      <w:r>
        <w:rPr>
          <w:rFonts w:ascii="宋体" w:hAnsi="宋体"/>
          <w:b/>
          <w:sz w:val="28"/>
          <w:szCs w:val="28"/>
          <w:u w:val="single"/>
        </w:rPr>
        <w:t xml:space="preserve">            </w:t>
      </w:r>
      <w:r>
        <w:rPr>
          <w:rFonts w:hint="eastAsia" w:ascii="宋体" w:hAnsi="宋体"/>
          <w:b/>
          <w:sz w:val="28"/>
          <w:szCs w:val="28"/>
        </w:rPr>
        <w:t>（电子签章）</w:t>
      </w:r>
    </w:p>
    <w:p w14:paraId="65EF94F6">
      <w:pPr>
        <w:spacing w:line="360" w:lineRule="auto"/>
        <w:ind w:right="-197" w:firstLine="1130" w:firstLineChars="402"/>
        <w:jc w:val="left"/>
        <w:rPr>
          <w:rFonts w:ascii="宋体" w:hAnsi="宋体"/>
          <w:b/>
          <w:sz w:val="28"/>
          <w:szCs w:val="28"/>
        </w:rPr>
      </w:pPr>
      <w:r>
        <w:rPr>
          <w:rFonts w:hint="eastAsia" w:ascii="宋体" w:hAnsi="宋体"/>
          <w:b/>
          <w:sz w:val="28"/>
          <w:szCs w:val="28"/>
        </w:rPr>
        <w:t>日  期：</w:t>
      </w:r>
      <w:r>
        <w:rPr>
          <w:rFonts w:ascii="宋体" w:hAnsi="宋体"/>
          <w:b/>
          <w:sz w:val="28"/>
          <w:szCs w:val="28"/>
          <w:u w:val="single"/>
        </w:rPr>
        <w:t xml:space="preserve">       </w:t>
      </w:r>
      <w:r>
        <w:rPr>
          <w:rFonts w:hint="eastAsia" w:ascii="宋体" w:hAnsi="宋体"/>
          <w:b/>
          <w:sz w:val="28"/>
          <w:szCs w:val="28"/>
        </w:rPr>
        <w:t>年</w:t>
      </w:r>
      <w:r>
        <w:rPr>
          <w:rFonts w:ascii="宋体" w:hAnsi="宋体"/>
          <w:b/>
          <w:sz w:val="28"/>
          <w:szCs w:val="28"/>
          <w:u w:val="single"/>
        </w:rPr>
        <w:t xml:space="preserve">     </w:t>
      </w:r>
      <w:r>
        <w:rPr>
          <w:rFonts w:hint="eastAsia" w:ascii="宋体" w:hAnsi="宋体"/>
          <w:b/>
          <w:sz w:val="28"/>
          <w:szCs w:val="28"/>
        </w:rPr>
        <w:t>月</w:t>
      </w:r>
      <w:r>
        <w:rPr>
          <w:rFonts w:ascii="宋体" w:hAnsi="宋体"/>
          <w:b/>
          <w:sz w:val="28"/>
          <w:szCs w:val="28"/>
          <w:u w:val="single"/>
        </w:rPr>
        <w:t xml:space="preserve">     </w:t>
      </w:r>
      <w:r>
        <w:rPr>
          <w:rFonts w:hint="eastAsia" w:ascii="宋体" w:hAnsi="宋体"/>
          <w:b/>
          <w:sz w:val="28"/>
          <w:szCs w:val="28"/>
        </w:rPr>
        <w:t>日</w:t>
      </w:r>
    </w:p>
    <w:p w14:paraId="1E334290"/>
    <w:p w14:paraId="09D36BB1">
      <w:pPr>
        <w:pStyle w:val="19"/>
        <w:ind w:firstLine="210"/>
        <w:sectPr>
          <w:pgSz w:w="11906" w:h="16838"/>
          <w:pgMar w:top="1134" w:right="1134" w:bottom="1418" w:left="1418" w:header="851" w:footer="992" w:gutter="0"/>
          <w:cols w:space="425" w:num="1"/>
          <w:docGrid w:type="lines" w:linePitch="312" w:charSpace="0"/>
        </w:sectPr>
      </w:pPr>
    </w:p>
    <w:p w14:paraId="0A7684B1">
      <w:pPr>
        <w:pStyle w:val="4"/>
        <w:jc w:val="center"/>
        <w:rPr>
          <w:rFonts w:hint="eastAsia" w:ascii="宋体" w:hAnsi="宋体" w:eastAsia="宋体" w:cs="宋体"/>
          <w:sz w:val="21"/>
          <w:szCs w:val="21"/>
        </w:rPr>
      </w:pPr>
      <w:r>
        <w:rPr>
          <w:rFonts w:hint="eastAsia" w:ascii="宋体" w:hAnsi="宋体" w:eastAsia="宋体" w:cs="宋体"/>
          <w:sz w:val="21"/>
          <w:szCs w:val="21"/>
        </w:rPr>
        <w:t>一、投标函及投标函附录</w:t>
      </w:r>
    </w:p>
    <w:p w14:paraId="1708EA79">
      <w:pPr>
        <w:jc w:val="center"/>
        <w:outlineLvl w:val="1"/>
        <w:rPr>
          <w:rFonts w:hint="eastAsia" w:ascii="宋体" w:hAnsi="宋体" w:eastAsia="宋体" w:cs="宋体"/>
          <w:b/>
          <w:sz w:val="21"/>
          <w:szCs w:val="21"/>
        </w:rPr>
      </w:pPr>
      <w:r>
        <w:rPr>
          <w:rFonts w:hint="eastAsia" w:ascii="宋体" w:hAnsi="宋体" w:eastAsia="宋体" w:cs="宋体"/>
          <w:b/>
          <w:sz w:val="21"/>
          <w:szCs w:val="21"/>
        </w:rPr>
        <w:t>（一）投标函</w:t>
      </w:r>
    </w:p>
    <w:p w14:paraId="59BA24DD">
      <w:pPr>
        <w:spacing w:line="360" w:lineRule="auto"/>
        <w:ind w:firstLine="420" w:firstLineChars="200"/>
        <w:rPr>
          <w:rFonts w:hint="eastAsia" w:ascii="宋体" w:hAnsi="宋体" w:eastAsia="宋体" w:cs="宋体"/>
          <w:sz w:val="21"/>
          <w:szCs w:val="21"/>
        </w:rPr>
      </w:pPr>
    </w:p>
    <w:p w14:paraId="521E34A8">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（采购人名称）：</w:t>
      </w:r>
    </w:p>
    <w:p w14:paraId="00B5497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1．我方已仔细研究了（项目名称）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招标文件的全部内容，愿意以人民币（大写）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，（小写）</w:t>
      </w:r>
      <w:r>
        <w:rPr>
          <w:rFonts w:hint="eastAsia" w:ascii="宋体" w:hAnsi="宋体" w:eastAsia="宋体" w:cs="宋体"/>
          <w:sz w:val="21"/>
          <w:szCs w:val="21"/>
          <w:u w:val="single"/>
        </w:rPr>
        <w:t xml:space="preserve">         </w:t>
      </w:r>
      <w:r>
        <w:rPr>
          <w:rFonts w:hint="eastAsia" w:ascii="宋体" w:hAnsi="宋体" w:eastAsia="宋体" w:cs="宋体"/>
          <w:sz w:val="21"/>
          <w:szCs w:val="21"/>
        </w:rPr>
        <w:t>元的投标报价，交货期限：合同签订</w:t>
      </w:r>
      <w:r>
        <w:rPr>
          <w:rFonts w:hint="eastAsia" w:ascii="宋体" w:hAnsi="宋体" w:eastAsia="宋体" w:cs="宋体"/>
          <w:sz w:val="21"/>
          <w:szCs w:val="21"/>
          <w:u w:val="single"/>
        </w:rPr>
        <w:t xml:space="preserve">     </w:t>
      </w:r>
      <w:r>
        <w:rPr>
          <w:rFonts w:hint="eastAsia" w:ascii="宋体" w:hAnsi="宋体" w:eastAsia="宋体" w:cs="宋体"/>
          <w:sz w:val="21"/>
          <w:szCs w:val="21"/>
        </w:rPr>
        <w:t>日历天内供货完毕，按合同约定完成全部合同内容，质量达到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65BC10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2．我方承诺在投标有效期内不修改、撤销投标文件。</w:t>
      </w:r>
    </w:p>
    <w:p w14:paraId="6B0F3CC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3．如我方中标：</w:t>
      </w:r>
    </w:p>
    <w:p w14:paraId="6810670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(l)我方承诺在收到中标通知书后，在中标通知书规定的期限内与你方签订合同。</w:t>
      </w:r>
    </w:p>
    <w:p w14:paraId="3955E14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(2)随同本投标函递交的投标函附录属于合同文件的组成部分。</w:t>
      </w:r>
    </w:p>
    <w:p w14:paraId="09326C8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(3)我方承诺在合同约定的期限内完成全部合同内容。</w:t>
      </w:r>
    </w:p>
    <w:p w14:paraId="0AF0E56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4．我方在此声明，所递交的投标文件及有关资料内容完整、真实和准确，且不存在第二章“投标人(供应商)须知”第1.4.3项规定的任何一种情形。</w:t>
      </w:r>
    </w:p>
    <w:p w14:paraId="08778E3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 </w:t>
      </w:r>
      <w:r>
        <w:rPr>
          <w:rFonts w:hint="eastAsia" w:ascii="宋体" w:hAnsi="宋体" w:eastAsia="宋体" w:cs="宋体"/>
          <w:sz w:val="21"/>
          <w:szCs w:val="21"/>
          <w:u w:val="single"/>
        </w:rPr>
        <w:t xml:space="preserve">                     </w:t>
      </w:r>
      <w:r>
        <w:rPr>
          <w:rFonts w:hint="eastAsia" w:ascii="宋体" w:hAnsi="宋体" w:eastAsia="宋体" w:cs="宋体"/>
          <w:sz w:val="21"/>
          <w:szCs w:val="21"/>
        </w:rPr>
        <w:t>（其他补充说明）。</w:t>
      </w:r>
    </w:p>
    <w:p w14:paraId="160A8CD9">
      <w:pPr>
        <w:spacing w:line="360" w:lineRule="auto"/>
        <w:ind w:firstLine="420" w:firstLineChars="200"/>
        <w:rPr>
          <w:rFonts w:hint="eastAsia" w:ascii="宋体" w:hAnsi="宋体" w:eastAsia="宋体" w:cs="宋体"/>
          <w:sz w:val="21"/>
          <w:szCs w:val="21"/>
        </w:rPr>
      </w:pPr>
    </w:p>
    <w:p w14:paraId="755D56E8">
      <w:pPr>
        <w:spacing w:line="360" w:lineRule="auto"/>
        <w:ind w:firstLine="420" w:firstLineChars="200"/>
        <w:rPr>
          <w:rFonts w:hint="eastAsia" w:ascii="宋体" w:hAnsi="宋体" w:eastAsia="宋体" w:cs="宋体"/>
          <w:sz w:val="21"/>
          <w:szCs w:val="21"/>
        </w:rPr>
      </w:pPr>
    </w:p>
    <w:p w14:paraId="273851DB">
      <w:pPr>
        <w:spacing w:line="360" w:lineRule="auto"/>
        <w:jc w:val="right"/>
        <w:rPr>
          <w:rFonts w:hint="eastAsia" w:ascii="宋体" w:hAnsi="宋体" w:eastAsia="宋体" w:cs="宋体"/>
          <w:sz w:val="21"/>
          <w:szCs w:val="21"/>
        </w:rPr>
      </w:pPr>
      <w:r>
        <w:rPr>
          <w:rFonts w:hint="eastAsia" w:ascii="宋体" w:hAnsi="宋体" w:eastAsia="宋体" w:cs="宋体"/>
          <w:sz w:val="21"/>
          <w:szCs w:val="21"/>
        </w:rPr>
        <w:t xml:space="preserve">      投标人：</w:t>
      </w:r>
      <w:r>
        <w:rPr>
          <w:rFonts w:hint="eastAsia" w:ascii="宋体" w:hAnsi="宋体" w:eastAsia="宋体" w:cs="宋体"/>
          <w:sz w:val="21"/>
          <w:szCs w:val="21"/>
          <w:u w:val="single"/>
        </w:rPr>
        <w:t xml:space="preserve">                             </w:t>
      </w:r>
      <w:r>
        <w:rPr>
          <w:rFonts w:hint="eastAsia" w:ascii="宋体" w:hAnsi="宋体" w:eastAsia="宋体" w:cs="宋体"/>
          <w:sz w:val="21"/>
          <w:szCs w:val="21"/>
        </w:rPr>
        <w:t>（电子签章）</w:t>
      </w:r>
    </w:p>
    <w:p w14:paraId="2126F673">
      <w:pPr>
        <w:spacing w:line="360" w:lineRule="auto"/>
        <w:ind w:right="945" w:firstLine="3990" w:firstLineChars="1900"/>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53A962B5">
      <w:pPr>
        <w:spacing w:line="360" w:lineRule="auto"/>
        <w:jc w:val="center"/>
        <w:rPr>
          <w:rFonts w:hint="eastAsia" w:ascii="宋体" w:hAnsi="宋体" w:eastAsia="宋体" w:cs="宋体"/>
          <w:b/>
          <w:sz w:val="21"/>
          <w:szCs w:val="21"/>
        </w:rPr>
      </w:pPr>
    </w:p>
    <w:p w14:paraId="355C9DFB">
      <w:pPr>
        <w:jc w:val="center"/>
        <w:rPr>
          <w:rFonts w:hint="eastAsia" w:ascii="宋体" w:hAnsi="宋体" w:eastAsia="宋体" w:cs="宋体"/>
          <w:b/>
          <w:sz w:val="21"/>
          <w:szCs w:val="21"/>
        </w:rPr>
      </w:pPr>
    </w:p>
    <w:p w14:paraId="01801BD4">
      <w:pPr>
        <w:pStyle w:val="19"/>
        <w:ind w:firstLine="0" w:firstLineChars="0"/>
        <w:rPr>
          <w:rFonts w:hint="eastAsia" w:ascii="宋体" w:hAnsi="宋体" w:eastAsia="宋体" w:cs="宋体"/>
          <w:sz w:val="21"/>
          <w:szCs w:val="21"/>
        </w:rPr>
      </w:pPr>
    </w:p>
    <w:p w14:paraId="65BAEA65">
      <w:pPr>
        <w:rPr>
          <w:rFonts w:hint="eastAsia" w:ascii="宋体" w:hAnsi="宋体" w:eastAsia="宋体" w:cs="宋体"/>
          <w:sz w:val="21"/>
          <w:szCs w:val="21"/>
        </w:rPr>
        <w:sectPr>
          <w:pgSz w:w="11906" w:h="16838"/>
          <w:pgMar w:top="1134" w:right="1134" w:bottom="1418" w:left="1418" w:header="851" w:footer="992" w:gutter="0"/>
          <w:cols w:space="425" w:num="1"/>
          <w:docGrid w:type="lines" w:linePitch="312" w:charSpace="0"/>
        </w:sectPr>
      </w:pPr>
    </w:p>
    <w:p w14:paraId="3D9DD11E">
      <w:pPr>
        <w:jc w:val="center"/>
        <w:outlineLvl w:val="1"/>
        <w:rPr>
          <w:rFonts w:hint="eastAsia" w:ascii="宋体" w:hAnsi="宋体" w:eastAsia="宋体" w:cs="宋体"/>
          <w:b/>
          <w:sz w:val="21"/>
          <w:szCs w:val="21"/>
        </w:rPr>
      </w:pPr>
      <w:bookmarkStart w:id="267" w:name="_Toc358873717"/>
      <w:bookmarkStart w:id="268" w:name="_Hlk122705525"/>
      <w:r>
        <w:rPr>
          <w:rFonts w:hint="eastAsia" w:ascii="宋体" w:hAnsi="宋体" w:eastAsia="宋体" w:cs="宋体"/>
          <w:b/>
          <w:sz w:val="21"/>
          <w:szCs w:val="21"/>
        </w:rPr>
        <w:t>（二）投标函附录</w:t>
      </w:r>
      <w:bookmarkEnd w:id="267"/>
    </w:p>
    <w:tbl>
      <w:tblPr>
        <w:tblStyle w:val="21"/>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110"/>
      </w:tblGrid>
      <w:tr w14:paraId="561F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0C5BD28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110" w:type="dxa"/>
            <w:tcBorders>
              <w:top w:val="single" w:color="auto" w:sz="4" w:space="0"/>
              <w:left w:val="single" w:color="auto" w:sz="4" w:space="0"/>
              <w:bottom w:val="single" w:color="auto" w:sz="4" w:space="0"/>
              <w:right w:val="single" w:color="auto" w:sz="4" w:space="0"/>
            </w:tcBorders>
            <w:vAlign w:val="center"/>
          </w:tcPr>
          <w:p w14:paraId="6204FC79">
            <w:pPr>
              <w:spacing w:line="360" w:lineRule="auto"/>
              <w:jc w:val="center"/>
              <w:rPr>
                <w:rFonts w:hint="eastAsia" w:ascii="宋体" w:hAnsi="宋体" w:eastAsia="宋体" w:cs="宋体"/>
                <w:sz w:val="21"/>
                <w:szCs w:val="21"/>
              </w:rPr>
            </w:pPr>
          </w:p>
        </w:tc>
      </w:tr>
      <w:tr w14:paraId="39AB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7C0A91F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投标人名称</w:t>
            </w:r>
          </w:p>
        </w:tc>
        <w:tc>
          <w:tcPr>
            <w:tcW w:w="6110" w:type="dxa"/>
            <w:tcBorders>
              <w:top w:val="single" w:color="auto" w:sz="4" w:space="0"/>
              <w:left w:val="single" w:color="auto" w:sz="4" w:space="0"/>
              <w:bottom w:val="single" w:color="auto" w:sz="4" w:space="0"/>
              <w:right w:val="single" w:color="auto" w:sz="4" w:space="0"/>
            </w:tcBorders>
            <w:vAlign w:val="center"/>
          </w:tcPr>
          <w:p w14:paraId="06581790">
            <w:pPr>
              <w:spacing w:line="360" w:lineRule="auto"/>
              <w:rPr>
                <w:rFonts w:hint="eastAsia" w:ascii="宋体" w:hAnsi="宋体" w:eastAsia="宋体" w:cs="宋体"/>
                <w:sz w:val="21"/>
                <w:szCs w:val="21"/>
              </w:rPr>
            </w:pPr>
          </w:p>
        </w:tc>
      </w:tr>
      <w:tr w14:paraId="4A0E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2830" w:type="dxa"/>
            <w:tcBorders>
              <w:top w:val="single" w:color="auto" w:sz="4" w:space="0"/>
              <w:left w:val="single" w:color="auto" w:sz="4" w:space="0"/>
              <w:right w:val="single" w:color="auto" w:sz="4" w:space="0"/>
            </w:tcBorders>
            <w:vAlign w:val="center"/>
          </w:tcPr>
          <w:p w14:paraId="221888B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6110" w:type="dxa"/>
            <w:tcBorders>
              <w:top w:val="single" w:color="auto" w:sz="4" w:space="0"/>
              <w:left w:val="single" w:color="auto" w:sz="4" w:space="0"/>
              <w:bottom w:val="single" w:color="auto" w:sz="4" w:space="0"/>
              <w:right w:val="single" w:color="auto" w:sz="4" w:space="0"/>
            </w:tcBorders>
            <w:vAlign w:val="center"/>
          </w:tcPr>
          <w:p w14:paraId="516CD5E6">
            <w:pPr>
              <w:spacing w:line="360" w:lineRule="auto"/>
              <w:rPr>
                <w:rFonts w:hint="eastAsia" w:ascii="宋体" w:hAnsi="宋体" w:eastAsia="宋体" w:cs="宋体"/>
                <w:sz w:val="21"/>
                <w:szCs w:val="21"/>
              </w:rPr>
            </w:pPr>
            <w:r>
              <w:rPr>
                <w:rFonts w:hint="eastAsia" w:ascii="宋体" w:hAnsi="宋体" w:eastAsia="宋体" w:cs="宋体"/>
                <w:sz w:val="21"/>
                <w:szCs w:val="21"/>
              </w:rPr>
              <w:t>大写：</w:t>
            </w:r>
            <w:r>
              <w:rPr>
                <w:rFonts w:hint="eastAsia" w:ascii="宋体" w:hAnsi="宋体" w:eastAsia="宋体" w:cs="宋体"/>
                <w:sz w:val="21"/>
                <w:szCs w:val="21"/>
                <w:u w:val="single"/>
              </w:rPr>
              <w:t xml:space="preserve">                  </w:t>
            </w:r>
            <w:r>
              <w:rPr>
                <w:rFonts w:hint="eastAsia" w:ascii="宋体" w:hAnsi="宋体" w:eastAsia="宋体" w:cs="宋体"/>
                <w:sz w:val="21"/>
                <w:szCs w:val="21"/>
              </w:rPr>
              <w:t>小写：</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tc>
      </w:tr>
      <w:tr w14:paraId="0FDB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2773E45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质量</w:t>
            </w:r>
          </w:p>
        </w:tc>
        <w:tc>
          <w:tcPr>
            <w:tcW w:w="6110" w:type="dxa"/>
            <w:tcBorders>
              <w:top w:val="single" w:color="auto" w:sz="4" w:space="0"/>
              <w:left w:val="single" w:color="auto" w:sz="4" w:space="0"/>
              <w:bottom w:val="single" w:color="auto" w:sz="4" w:space="0"/>
              <w:right w:val="single" w:color="auto" w:sz="4" w:space="0"/>
            </w:tcBorders>
            <w:vAlign w:val="center"/>
          </w:tcPr>
          <w:p w14:paraId="7DBC8D5D">
            <w:pPr>
              <w:spacing w:line="360" w:lineRule="auto"/>
              <w:jc w:val="center"/>
              <w:rPr>
                <w:rFonts w:hint="eastAsia" w:ascii="宋体" w:hAnsi="宋体" w:eastAsia="宋体" w:cs="宋体"/>
                <w:sz w:val="21"/>
                <w:szCs w:val="21"/>
              </w:rPr>
            </w:pPr>
          </w:p>
        </w:tc>
      </w:tr>
      <w:tr w14:paraId="006C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34DA909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供货期限</w:t>
            </w:r>
          </w:p>
        </w:tc>
        <w:tc>
          <w:tcPr>
            <w:tcW w:w="6110" w:type="dxa"/>
            <w:tcBorders>
              <w:top w:val="single" w:color="auto" w:sz="4" w:space="0"/>
              <w:left w:val="single" w:color="auto" w:sz="4" w:space="0"/>
              <w:bottom w:val="single" w:color="auto" w:sz="4" w:space="0"/>
              <w:right w:val="single" w:color="auto" w:sz="4" w:space="0"/>
            </w:tcBorders>
            <w:vAlign w:val="center"/>
          </w:tcPr>
          <w:p w14:paraId="62D4EFC8">
            <w:pPr>
              <w:spacing w:line="360" w:lineRule="auto"/>
              <w:ind w:firstLine="1680" w:firstLineChars="800"/>
              <w:rPr>
                <w:rFonts w:hint="eastAsia" w:ascii="宋体" w:hAnsi="宋体" w:eastAsia="宋体" w:cs="宋体"/>
                <w:sz w:val="21"/>
                <w:szCs w:val="21"/>
              </w:rPr>
            </w:pPr>
          </w:p>
        </w:tc>
      </w:tr>
      <w:tr w14:paraId="0127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7A95E09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交货地点</w:t>
            </w:r>
          </w:p>
        </w:tc>
        <w:tc>
          <w:tcPr>
            <w:tcW w:w="6110" w:type="dxa"/>
            <w:tcBorders>
              <w:top w:val="single" w:color="auto" w:sz="4" w:space="0"/>
              <w:left w:val="single" w:color="auto" w:sz="4" w:space="0"/>
              <w:bottom w:val="single" w:color="auto" w:sz="4" w:space="0"/>
              <w:right w:val="single" w:color="auto" w:sz="4" w:space="0"/>
            </w:tcBorders>
            <w:vAlign w:val="center"/>
          </w:tcPr>
          <w:p w14:paraId="27C3C541">
            <w:pPr>
              <w:spacing w:line="360" w:lineRule="auto"/>
              <w:ind w:firstLine="1680" w:firstLineChars="800"/>
              <w:rPr>
                <w:rFonts w:hint="eastAsia" w:ascii="宋体" w:hAnsi="宋体" w:eastAsia="宋体" w:cs="宋体"/>
                <w:sz w:val="21"/>
                <w:szCs w:val="21"/>
              </w:rPr>
            </w:pPr>
          </w:p>
        </w:tc>
      </w:tr>
      <w:tr w14:paraId="6150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48C29BF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质保期</w:t>
            </w:r>
          </w:p>
        </w:tc>
        <w:tc>
          <w:tcPr>
            <w:tcW w:w="6110" w:type="dxa"/>
            <w:tcBorders>
              <w:top w:val="single" w:color="auto" w:sz="4" w:space="0"/>
              <w:left w:val="single" w:color="auto" w:sz="4" w:space="0"/>
              <w:bottom w:val="single" w:color="auto" w:sz="4" w:space="0"/>
              <w:right w:val="single" w:color="auto" w:sz="4" w:space="0"/>
            </w:tcBorders>
            <w:vAlign w:val="center"/>
          </w:tcPr>
          <w:p w14:paraId="2CFF7BF6">
            <w:pPr>
              <w:spacing w:line="360" w:lineRule="auto"/>
              <w:ind w:firstLine="1680" w:firstLineChars="800"/>
              <w:rPr>
                <w:rFonts w:hint="eastAsia" w:ascii="宋体" w:hAnsi="宋体" w:eastAsia="宋体" w:cs="宋体"/>
                <w:sz w:val="21"/>
                <w:szCs w:val="21"/>
              </w:rPr>
            </w:pPr>
          </w:p>
        </w:tc>
      </w:tr>
      <w:tr w14:paraId="1F51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1B13490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投标有效期</w:t>
            </w:r>
          </w:p>
        </w:tc>
        <w:tc>
          <w:tcPr>
            <w:tcW w:w="6110" w:type="dxa"/>
            <w:tcBorders>
              <w:top w:val="single" w:color="auto" w:sz="4" w:space="0"/>
              <w:left w:val="single" w:color="auto" w:sz="4" w:space="0"/>
              <w:bottom w:val="single" w:color="auto" w:sz="4" w:space="0"/>
              <w:right w:val="single" w:color="auto" w:sz="4" w:space="0"/>
            </w:tcBorders>
            <w:vAlign w:val="center"/>
          </w:tcPr>
          <w:p w14:paraId="3A44B397">
            <w:pPr>
              <w:spacing w:line="360" w:lineRule="auto"/>
              <w:rPr>
                <w:rFonts w:hint="eastAsia" w:ascii="宋体" w:hAnsi="宋体" w:eastAsia="宋体" w:cs="宋体"/>
                <w:sz w:val="21"/>
                <w:szCs w:val="21"/>
                <w:u w:val="single"/>
              </w:rPr>
            </w:pPr>
          </w:p>
        </w:tc>
      </w:tr>
      <w:tr w14:paraId="2460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8940" w:type="dxa"/>
            <w:gridSpan w:val="2"/>
            <w:vAlign w:val="center"/>
          </w:tcPr>
          <w:p w14:paraId="3BDA7B51">
            <w:pPr>
              <w:spacing w:line="360" w:lineRule="auto"/>
              <w:rPr>
                <w:rFonts w:hint="eastAsia" w:ascii="宋体" w:hAnsi="宋体" w:eastAsia="宋体" w:cs="宋体"/>
                <w:sz w:val="21"/>
                <w:szCs w:val="21"/>
              </w:rPr>
            </w:pPr>
            <w:r>
              <w:rPr>
                <w:rFonts w:hint="eastAsia" w:ascii="宋体" w:hAnsi="宋体" w:eastAsia="宋体" w:cs="宋体"/>
                <w:sz w:val="21"/>
                <w:szCs w:val="21"/>
              </w:rPr>
              <w:t>其他需要说明的问题：</w:t>
            </w:r>
          </w:p>
        </w:tc>
      </w:tr>
    </w:tbl>
    <w:p w14:paraId="587F14C8">
      <w:pPr>
        <w:spacing w:line="360" w:lineRule="auto"/>
        <w:jc w:val="right"/>
        <w:rPr>
          <w:rFonts w:hint="eastAsia" w:ascii="宋体" w:hAnsi="宋体" w:eastAsia="宋体" w:cs="宋体"/>
          <w:sz w:val="21"/>
          <w:szCs w:val="21"/>
        </w:rPr>
      </w:pPr>
    </w:p>
    <w:p w14:paraId="1BC2C90E">
      <w:pPr>
        <w:pStyle w:val="19"/>
        <w:ind w:firstLine="210"/>
        <w:rPr>
          <w:rFonts w:hint="eastAsia" w:ascii="宋体" w:hAnsi="宋体" w:eastAsia="宋体" w:cs="宋体"/>
          <w:sz w:val="21"/>
          <w:szCs w:val="21"/>
        </w:rPr>
      </w:pPr>
    </w:p>
    <w:p w14:paraId="3D5B208C">
      <w:pPr>
        <w:pStyle w:val="19"/>
        <w:ind w:firstLine="210"/>
        <w:rPr>
          <w:rFonts w:hint="eastAsia" w:ascii="宋体" w:hAnsi="宋体" w:eastAsia="宋体" w:cs="宋体"/>
          <w:sz w:val="21"/>
          <w:szCs w:val="21"/>
        </w:rPr>
      </w:pPr>
    </w:p>
    <w:p w14:paraId="247731D3">
      <w:pPr>
        <w:spacing w:line="360" w:lineRule="auto"/>
        <w:jc w:val="right"/>
        <w:rPr>
          <w:rFonts w:hint="eastAsia" w:ascii="宋体" w:hAnsi="宋体" w:eastAsia="宋体" w:cs="宋体"/>
          <w:sz w:val="21"/>
          <w:szCs w:val="21"/>
          <w:u w:val="single"/>
        </w:rPr>
      </w:pPr>
      <w:r>
        <w:rPr>
          <w:rFonts w:hint="eastAsia" w:ascii="宋体" w:hAnsi="宋体" w:eastAsia="宋体" w:cs="宋体"/>
          <w:sz w:val="21"/>
          <w:szCs w:val="21"/>
        </w:rPr>
        <w:t xml:space="preserve">     投标人：</w:t>
      </w:r>
      <w:r>
        <w:rPr>
          <w:rFonts w:hint="eastAsia" w:ascii="宋体" w:hAnsi="宋体" w:eastAsia="宋体" w:cs="宋体"/>
          <w:sz w:val="21"/>
          <w:szCs w:val="21"/>
          <w:u w:val="single"/>
        </w:rPr>
        <w:t xml:space="preserve">                         </w:t>
      </w:r>
      <w:r>
        <w:rPr>
          <w:rFonts w:hint="eastAsia" w:ascii="宋体" w:hAnsi="宋体" w:eastAsia="宋体" w:cs="宋体"/>
          <w:sz w:val="21"/>
          <w:szCs w:val="21"/>
        </w:rPr>
        <w:t>（电子签章）</w:t>
      </w:r>
    </w:p>
    <w:p w14:paraId="0CFE45D7">
      <w:pPr>
        <w:spacing w:line="360" w:lineRule="auto"/>
        <w:jc w:val="right"/>
        <w:rPr>
          <w:rFonts w:hint="eastAsia" w:ascii="宋体" w:hAnsi="宋体" w:eastAsia="宋体" w:cs="宋体"/>
          <w:sz w:val="21"/>
          <w:szCs w:val="21"/>
        </w:rPr>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（电子签章）</w:t>
      </w:r>
    </w:p>
    <w:p w14:paraId="710913A3">
      <w:pPr>
        <w:spacing w:line="360" w:lineRule="auto"/>
        <w:jc w:val="right"/>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9F13DFC">
      <w:pPr>
        <w:spacing w:line="360" w:lineRule="auto"/>
        <w:jc w:val="right"/>
        <w:rPr>
          <w:rFonts w:hint="eastAsia" w:ascii="宋体" w:hAnsi="宋体" w:eastAsia="宋体" w:cs="宋体"/>
          <w:sz w:val="21"/>
          <w:szCs w:val="21"/>
        </w:rPr>
      </w:pPr>
    </w:p>
    <w:p w14:paraId="0239E35B">
      <w:pPr>
        <w:rPr>
          <w:rFonts w:hint="eastAsia" w:ascii="宋体" w:hAnsi="宋体" w:eastAsia="宋体" w:cs="宋体"/>
          <w:sz w:val="21"/>
          <w:szCs w:val="21"/>
        </w:rPr>
      </w:pPr>
    </w:p>
    <w:p w14:paraId="5AD49B76">
      <w:pPr>
        <w:rPr>
          <w:rFonts w:hint="eastAsia" w:ascii="宋体" w:hAnsi="宋体" w:eastAsia="宋体" w:cs="宋体"/>
          <w:sz w:val="21"/>
          <w:szCs w:val="21"/>
        </w:rPr>
        <w:sectPr>
          <w:pgSz w:w="11906" w:h="16838"/>
          <w:pgMar w:top="1134" w:right="1134" w:bottom="1418" w:left="1418" w:header="851" w:footer="992" w:gutter="0"/>
          <w:cols w:space="425" w:num="1"/>
          <w:docGrid w:type="lines" w:linePitch="312" w:charSpace="0"/>
        </w:sectPr>
      </w:pPr>
    </w:p>
    <w:bookmarkEnd w:id="268"/>
    <w:p w14:paraId="75FED0CF">
      <w:pPr>
        <w:pStyle w:val="4"/>
        <w:jc w:val="center"/>
        <w:rPr>
          <w:rFonts w:hint="eastAsia" w:ascii="宋体" w:hAnsi="宋体" w:eastAsia="宋体" w:cs="宋体"/>
          <w:sz w:val="21"/>
          <w:szCs w:val="21"/>
        </w:rPr>
      </w:pPr>
      <w:bookmarkStart w:id="269" w:name="_Toc118733374"/>
      <w:bookmarkStart w:id="270" w:name="_Hlk122705597"/>
      <w:r>
        <w:rPr>
          <w:rFonts w:hint="eastAsia" w:ascii="宋体" w:hAnsi="宋体" w:eastAsia="宋体" w:cs="宋体"/>
          <w:sz w:val="21"/>
          <w:szCs w:val="21"/>
        </w:rPr>
        <w:t>二、法定代表人身份证明</w:t>
      </w:r>
      <w:bookmarkEnd w:id="269"/>
    </w:p>
    <w:p w14:paraId="71C0C02A">
      <w:pPr>
        <w:spacing w:line="360" w:lineRule="auto"/>
        <w:rPr>
          <w:rFonts w:hint="eastAsia" w:ascii="宋体" w:hAnsi="宋体" w:eastAsia="宋体" w:cs="宋体"/>
          <w:sz w:val="21"/>
          <w:szCs w:val="21"/>
        </w:rPr>
      </w:pPr>
    </w:p>
    <w:p w14:paraId="44A2193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投标人名称：___________________</w:t>
      </w:r>
    </w:p>
    <w:p w14:paraId="6842924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单位性质：___________________</w:t>
      </w:r>
    </w:p>
    <w:p w14:paraId="4B2484C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地址：_________________________</w:t>
      </w:r>
    </w:p>
    <w:p w14:paraId="2A47419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成立时间：_______年______月____日</w:t>
      </w:r>
    </w:p>
    <w:p w14:paraId="5655007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经营期限：___________________</w:t>
      </w:r>
    </w:p>
    <w:p w14:paraId="2460B12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姓名：__________ 性别：__________年龄：__________职务：______</w:t>
      </w:r>
    </w:p>
    <w:p w14:paraId="325B1C4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系_____________________________（投标人名称）的法定代表人。</w:t>
      </w:r>
    </w:p>
    <w:p w14:paraId="15E6FAE0">
      <w:pPr>
        <w:spacing w:line="360" w:lineRule="auto"/>
        <w:ind w:firstLine="420" w:firstLineChars="200"/>
        <w:rPr>
          <w:rFonts w:hint="eastAsia" w:ascii="宋体" w:hAnsi="宋体" w:eastAsia="宋体" w:cs="宋体"/>
          <w:sz w:val="21"/>
          <w:szCs w:val="21"/>
        </w:rPr>
      </w:pPr>
    </w:p>
    <w:p w14:paraId="39FEC2D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特此证明。</w:t>
      </w:r>
    </w:p>
    <w:p w14:paraId="0ACA7F7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附：法定代表人身份证复印件</w:t>
      </w:r>
    </w:p>
    <w:p w14:paraId="08CE32AD">
      <w:pPr>
        <w:spacing w:line="360" w:lineRule="auto"/>
        <w:rPr>
          <w:rFonts w:hint="eastAsia" w:ascii="宋体" w:hAnsi="宋体" w:eastAsia="宋体" w:cs="宋体"/>
          <w:sz w:val="21"/>
          <w:szCs w:val="21"/>
        </w:rPr>
      </w:pPr>
    </w:p>
    <w:p w14:paraId="5BCFDBEE">
      <w:pPr>
        <w:spacing w:line="360" w:lineRule="auto"/>
        <w:rPr>
          <w:rFonts w:hint="eastAsia" w:ascii="宋体" w:hAnsi="宋体" w:eastAsia="宋体" w:cs="宋体"/>
          <w:sz w:val="21"/>
          <w:szCs w:val="21"/>
        </w:rPr>
      </w:pPr>
    </w:p>
    <w:p w14:paraId="7E3A4EE7">
      <w:pPr>
        <w:spacing w:line="360" w:lineRule="auto"/>
        <w:rPr>
          <w:rFonts w:hint="eastAsia" w:ascii="宋体" w:hAnsi="宋体" w:eastAsia="宋体" w:cs="宋体"/>
          <w:sz w:val="21"/>
          <w:szCs w:val="21"/>
        </w:rPr>
      </w:pPr>
    </w:p>
    <w:p w14:paraId="1787736A">
      <w:pPr>
        <w:spacing w:line="360" w:lineRule="auto"/>
        <w:rPr>
          <w:rFonts w:hint="eastAsia" w:ascii="宋体" w:hAnsi="宋体" w:eastAsia="宋体" w:cs="宋体"/>
          <w:sz w:val="21"/>
          <w:szCs w:val="21"/>
        </w:rPr>
      </w:pPr>
    </w:p>
    <w:p w14:paraId="341C86A2">
      <w:pPr>
        <w:spacing w:line="360" w:lineRule="auto"/>
        <w:rPr>
          <w:rFonts w:hint="eastAsia" w:ascii="宋体" w:hAnsi="宋体" w:eastAsia="宋体" w:cs="宋体"/>
          <w:sz w:val="21"/>
          <w:szCs w:val="21"/>
        </w:rPr>
      </w:pPr>
    </w:p>
    <w:p w14:paraId="2CBCBF53">
      <w:pPr>
        <w:spacing w:line="360" w:lineRule="auto"/>
        <w:rPr>
          <w:rFonts w:hint="eastAsia" w:ascii="宋体" w:hAnsi="宋体" w:eastAsia="宋体" w:cs="宋体"/>
          <w:sz w:val="21"/>
          <w:szCs w:val="21"/>
        </w:rPr>
      </w:pPr>
    </w:p>
    <w:p w14:paraId="6CAF4CBB">
      <w:pPr>
        <w:spacing w:line="360" w:lineRule="auto"/>
        <w:ind w:firstLine="3990" w:firstLineChars="1900"/>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（电子签章）</w:t>
      </w:r>
    </w:p>
    <w:p w14:paraId="0AE4204F">
      <w:pPr>
        <w:spacing w:line="360" w:lineRule="auto"/>
        <w:ind w:firstLine="3990" w:firstLineChars="1900"/>
        <w:rPr>
          <w:rFonts w:hint="eastAsia" w:ascii="宋体" w:hAnsi="宋体" w:eastAsia="宋体" w:cs="宋体"/>
          <w:sz w:val="21"/>
          <w:szCs w:val="21"/>
        </w:rPr>
      </w:pPr>
      <w:r>
        <w:rPr>
          <w:rFonts w:hint="eastAsia" w:ascii="宋体" w:hAnsi="宋体" w:eastAsia="宋体" w:cs="宋体"/>
          <w:sz w:val="21"/>
          <w:szCs w:val="21"/>
        </w:rPr>
        <w:t>日期：_____年_____月_____日</w:t>
      </w:r>
    </w:p>
    <w:p w14:paraId="6A5EC1C9">
      <w:pPr>
        <w:rPr>
          <w:rFonts w:hint="eastAsia" w:ascii="宋体" w:hAnsi="宋体" w:eastAsia="宋体" w:cs="宋体"/>
          <w:sz w:val="21"/>
          <w:szCs w:val="21"/>
        </w:rPr>
      </w:pPr>
    </w:p>
    <w:p w14:paraId="23C97C76">
      <w:pPr>
        <w:rPr>
          <w:rFonts w:hint="eastAsia" w:ascii="宋体" w:hAnsi="宋体" w:eastAsia="宋体" w:cs="宋体"/>
          <w:sz w:val="21"/>
          <w:szCs w:val="21"/>
        </w:rPr>
        <w:sectPr>
          <w:pgSz w:w="11906" w:h="16838"/>
          <w:pgMar w:top="1134" w:right="1134" w:bottom="1418" w:left="1418" w:header="851" w:footer="992" w:gutter="0"/>
          <w:cols w:space="425" w:num="1"/>
          <w:docGrid w:type="lines" w:linePitch="312" w:charSpace="0"/>
        </w:sectPr>
      </w:pPr>
    </w:p>
    <w:bookmarkEnd w:id="270"/>
    <w:p w14:paraId="04B7CDC1">
      <w:pPr>
        <w:pStyle w:val="4"/>
        <w:jc w:val="center"/>
        <w:rPr>
          <w:rFonts w:hint="eastAsia" w:ascii="宋体" w:hAnsi="宋体" w:eastAsia="宋体" w:cs="宋体"/>
          <w:sz w:val="21"/>
          <w:szCs w:val="21"/>
        </w:rPr>
      </w:pPr>
      <w:bookmarkStart w:id="271" w:name="_Toc118733375"/>
      <w:bookmarkStart w:id="272" w:name="_Hlk122705657"/>
      <w:r>
        <w:rPr>
          <w:rFonts w:hint="eastAsia" w:ascii="宋体" w:hAnsi="宋体" w:eastAsia="宋体" w:cs="宋体"/>
          <w:sz w:val="21"/>
          <w:szCs w:val="21"/>
        </w:rPr>
        <w:t>三、授权委托书</w:t>
      </w:r>
      <w:bookmarkEnd w:id="271"/>
    </w:p>
    <w:p w14:paraId="244E0121">
      <w:pPr>
        <w:topLinePunct/>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（投标人名称）的法定代表人，现委托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（姓名）为我方代理人。代理人根据授权，以我方名义签署、澄清、说明、补正、递交、撤回、修改</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（项目名称）投标文件、签订合同和处理有关事宜，其法律后果由我方承担。</w:t>
      </w:r>
    </w:p>
    <w:p w14:paraId="5DBF7B9A">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委托期限：</w:t>
      </w:r>
      <w:r>
        <w:rPr>
          <w:rFonts w:hint="eastAsia" w:ascii="宋体" w:hAnsi="宋体" w:eastAsia="宋体" w:cs="宋体"/>
          <w:sz w:val="21"/>
          <w:szCs w:val="21"/>
          <w:u w:val="single"/>
        </w:rPr>
        <w:t xml:space="preserve">                       </w:t>
      </w:r>
    </w:p>
    <w:p w14:paraId="6AB7945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代理人无转委托权。</w:t>
      </w:r>
    </w:p>
    <w:p w14:paraId="50F5C50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附：法定代表人及委托代理人身份证复印件</w:t>
      </w:r>
    </w:p>
    <w:p w14:paraId="4D5FBAB8">
      <w:pPr>
        <w:spacing w:line="360" w:lineRule="auto"/>
        <w:ind w:firstLine="420" w:firstLineChars="200"/>
        <w:rPr>
          <w:rFonts w:hint="eastAsia" w:ascii="宋体" w:hAnsi="宋体" w:eastAsia="宋体" w:cs="宋体"/>
          <w:sz w:val="21"/>
          <w:szCs w:val="21"/>
        </w:rPr>
      </w:pPr>
    </w:p>
    <w:p w14:paraId="7406E782">
      <w:pPr>
        <w:pStyle w:val="19"/>
        <w:ind w:firstLine="210"/>
        <w:rPr>
          <w:rFonts w:hint="eastAsia" w:ascii="宋体" w:hAnsi="宋体" w:eastAsia="宋体" w:cs="宋体"/>
          <w:sz w:val="21"/>
          <w:szCs w:val="21"/>
        </w:rPr>
      </w:pPr>
    </w:p>
    <w:p w14:paraId="34029E0D">
      <w:pPr>
        <w:pStyle w:val="19"/>
        <w:ind w:firstLine="210"/>
        <w:rPr>
          <w:rFonts w:hint="eastAsia" w:ascii="宋体" w:hAnsi="宋体" w:eastAsia="宋体" w:cs="宋体"/>
          <w:sz w:val="21"/>
          <w:szCs w:val="21"/>
        </w:rPr>
      </w:pPr>
    </w:p>
    <w:p w14:paraId="12ADC1DD">
      <w:pPr>
        <w:pStyle w:val="19"/>
        <w:ind w:firstLine="210"/>
        <w:rPr>
          <w:rFonts w:hint="eastAsia" w:ascii="宋体" w:hAnsi="宋体" w:eastAsia="宋体" w:cs="宋体"/>
          <w:sz w:val="21"/>
          <w:szCs w:val="21"/>
        </w:rPr>
      </w:pPr>
    </w:p>
    <w:p w14:paraId="6224DF2D">
      <w:pPr>
        <w:pStyle w:val="19"/>
        <w:ind w:firstLine="210"/>
        <w:rPr>
          <w:rFonts w:hint="eastAsia" w:ascii="宋体" w:hAnsi="宋体" w:eastAsia="宋体" w:cs="宋体"/>
          <w:sz w:val="21"/>
          <w:szCs w:val="21"/>
        </w:rPr>
      </w:pPr>
    </w:p>
    <w:p w14:paraId="12F7C5E6">
      <w:pPr>
        <w:pStyle w:val="19"/>
        <w:ind w:firstLine="210"/>
        <w:rPr>
          <w:rFonts w:hint="eastAsia" w:ascii="宋体" w:hAnsi="宋体" w:eastAsia="宋体" w:cs="宋体"/>
          <w:sz w:val="21"/>
          <w:szCs w:val="21"/>
        </w:rPr>
      </w:pPr>
    </w:p>
    <w:p w14:paraId="62BE1064">
      <w:pPr>
        <w:pStyle w:val="19"/>
        <w:ind w:firstLine="210"/>
        <w:rPr>
          <w:rFonts w:hint="eastAsia" w:ascii="宋体" w:hAnsi="宋体" w:eastAsia="宋体" w:cs="宋体"/>
          <w:sz w:val="21"/>
          <w:szCs w:val="21"/>
        </w:rPr>
      </w:pPr>
    </w:p>
    <w:p w14:paraId="07581200">
      <w:pPr>
        <w:pStyle w:val="19"/>
        <w:ind w:firstLine="2100" w:firstLineChars="1000"/>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w:t>
      </w:r>
      <w:r>
        <w:rPr>
          <w:rFonts w:hint="eastAsia" w:ascii="宋体" w:hAnsi="宋体" w:eastAsia="宋体" w:cs="宋体"/>
          <w:sz w:val="21"/>
          <w:szCs w:val="21"/>
        </w:rPr>
        <w:t>（电子签章）</w:t>
      </w:r>
    </w:p>
    <w:p w14:paraId="2994BCAA">
      <w:pPr>
        <w:pStyle w:val="19"/>
        <w:ind w:firstLine="2100" w:firstLineChars="1000"/>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（电子签章）</w:t>
      </w:r>
    </w:p>
    <w:p w14:paraId="15B46FC7">
      <w:pPr>
        <w:pStyle w:val="19"/>
        <w:ind w:firstLine="2047" w:firstLineChars="975"/>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7561622F">
      <w:pPr>
        <w:pStyle w:val="19"/>
        <w:ind w:firstLine="210"/>
        <w:rPr>
          <w:rFonts w:hint="eastAsia" w:ascii="宋体" w:hAnsi="宋体" w:eastAsia="宋体" w:cs="宋体"/>
          <w:sz w:val="21"/>
          <w:szCs w:val="21"/>
        </w:rPr>
      </w:pPr>
    </w:p>
    <w:p w14:paraId="25EE6CAB">
      <w:pPr>
        <w:pStyle w:val="19"/>
        <w:ind w:firstLine="210"/>
        <w:rPr>
          <w:rFonts w:hint="eastAsia" w:ascii="宋体" w:hAnsi="宋体" w:eastAsia="宋体" w:cs="宋体"/>
          <w:sz w:val="21"/>
          <w:szCs w:val="21"/>
        </w:rPr>
        <w:sectPr>
          <w:pgSz w:w="11906" w:h="16838"/>
          <w:pgMar w:top="1134" w:right="1134" w:bottom="1418" w:left="1418" w:header="851" w:footer="992" w:gutter="0"/>
          <w:cols w:space="425" w:num="1"/>
          <w:docGrid w:type="lines" w:linePitch="312" w:charSpace="0"/>
        </w:sectPr>
      </w:pPr>
    </w:p>
    <w:bookmarkEnd w:id="272"/>
    <w:p w14:paraId="284BF918">
      <w:pPr>
        <w:pStyle w:val="4"/>
        <w:jc w:val="center"/>
        <w:rPr>
          <w:rFonts w:hint="eastAsia" w:ascii="宋体" w:hAnsi="宋体" w:eastAsia="宋体" w:cs="宋体"/>
          <w:sz w:val="21"/>
          <w:szCs w:val="21"/>
        </w:rPr>
      </w:pPr>
      <w:bookmarkStart w:id="273" w:name="_Hlk122705736"/>
      <w:r>
        <w:rPr>
          <w:rFonts w:hint="eastAsia" w:ascii="宋体" w:hAnsi="宋体" w:eastAsia="宋体" w:cs="宋体"/>
          <w:sz w:val="21"/>
          <w:szCs w:val="21"/>
        </w:rPr>
        <w:t>四、分项明细报价表</w:t>
      </w:r>
    </w:p>
    <w:p w14:paraId="0A4E2741">
      <w:pPr>
        <w:ind w:firstLine="7140" w:firstLineChars="3400"/>
        <w:rPr>
          <w:rFonts w:hint="eastAsia" w:ascii="宋体" w:hAnsi="宋体" w:eastAsia="宋体" w:cs="宋体"/>
          <w:sz w:val="21"/>
          <w:szCs w:val="21"/>
        </w:rPr>
      </w:pPr>
      <w:r>
        <w:rPr>
          <w:rFonts w:hint="eastAsia" w:ascii="宋体" w:hAnsi="宋体" w:eastAsia="宋体" w:cs="宋体"/>
          <w:sz w:val="21"/>
          <w:szCs w:val="21"/>
        </w:rPr>
        <w:t>单位：人民币元</w:t>
      </w:r>
    </w:p>
    <w:tbl>
      <w:tblPr>
        <w:tblStyle w:val="21"/>
        <w:tblW w:w="8603" w:type="dxa"/>
        <w:jc w:val="center"/>
        <w:tblLayout w:type="fixed"/>
        <w:tblCellMar>
          <w:top w:w="0" w:type="dxa"/>
          <w:left w:w="0" w:type="dxa"/>
          <w:bottom w:w="0" w:type="dxa"/>
          <w:right w:w="0" w:type="dxa"/>
        </w:tblCellMar>
      </w:tblPr>
      <w:tblGrid>
        <w:gridCol w:w="544"/>
        <w:gridCol w:w="1178"/>
        <w:gridCol w:w="864"/>
        <w:gridCol w:w="1151"/>
        <w:gridCol w:w="1072"/>
        <w:gridCol w:w="779"/>
        <w:gridCol w:w="859"/>
        <w:gridCol w:w="1118"/>
        <w:gridCol w:w="1038"/>
      </w:tblGrid>
      <w:tr w14:paraId="5ACCE531">
        <w:tblPrEx>
          <w:tblCellMar>
            <w:top w:w="0" w:type="dxa"/>
            <w:left w:w="0" w:type="dxa"/>
            <w:bottom w:w="0" w:type="dxa"/>
            <w:right w:w="0" w:type="dxa"/>
          </w:tblCellMar>
        </w:tblPrEx>
        <w:trPr>
          <w:trHeight w:val="1089" w:hRule="atLeast"/>
          <w:jc w:val="center"/>
        </w:trPr>
        <w:tc>
          <w:tcPr>
            <w:tcW w:w="544"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10D810E">
            <w:pPr>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序号</w:t>
            </w:r>
          </w:p>
        </w:tc>
        <w:tc>
          <w:tcPr>
            <w:tcW w:w="117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4376FA7">
            <w:pPr>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货物名称</w:t>
            </w:r>
          </w:p>
        </w:tc>
        <w:tc>
          <w:tcPr>
            <w:tcW w:w="864"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382B895">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w:t>
            </w:r>
          </w:p>
          <w:p w14:paraId="030B8048">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规格</w:t>
            </w:r>
          </w:p>
        </w:tc>
        <w:tc>
          <w:tcPr>
            <w:tcW w:w="1151" w:type="dxa"/>
            <w:tcBorders>
              <w:top w:val="single" w:color="auto" w:sz="4" w:space="0"/>
              <w:left w:val="nil"/>
              <w:bottom w:val="single" w:color="auto" w:sz="4" w:space="0"/>
              <w:right w:val="single" w:color="auto" w:sz="4" w:space="0"/>
            </w:tcBorders>
            <w:vAlign w:val="center"/>
          </w:tcPr>
          <w:p w14:paraId="6C415884">
            <w:pPr>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数量</w:t>
            </w:r>
          </w:p>
        </w:tc>
        <w:tc>
          <w:tcPr>
            <w:tcW w:w="1072" w:type="dxa"/>
            <w:tcBorders>
              <w:top w:val="single" w:color="auto" w:sz="4" w:space="0"/>
              <w:left w:val="nil"/>
              <w:bottom w:val="single" w:color="auto" w:sz="4" w:space="0"/>
              <w:right w:val="single" w:color="auto" w:sz="4" w:space="0"/>
            </w:tcBorders>
            <w:vAlign w:val="center"/>
          </w:tcPr>
          <w:p w14:paraId="6D63EC87">
            <w:pPr>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单位</w:t>
            </w:r>
          </w:p>
        </w:tc>
        <w:tc>
          <w:tcPr>
            <w:tcW w:w="77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5E7056E">
            <w:pPr>
              <w:spacing w:line="360" w:lineRule="auto"/>
              <w:jc w:val="center"/>
              <w:rPr>
                <w:rFonts w:hint="eastAsia" w:ascii="宋体" w:hAnsi="宋体" w:eastAsia="宋体" w:cs="宋体"/>
                <w:kern w:val="0"/>
                <w:sz w:val="21"/>
                <w:szCs w:val="21"/>
                <w:lang w:eastAsia="zh-CN"/>
              </w:rPr>
            </w:pPr>
            <w:r>
              <w:rPr>
                <w:rFonts w:hint="eastAsia" w:ascii="宋体" w:hAnsi="宋体" w:eastAsia="宋体" w:cs="宋体"/>
                <w:sz w:val="21"/>
                <w:szCs w:val="21"/>
                <w:lang w:val="en-US" w:eastAsia="zh-CN"/>
              </w:rPr>
              <w:t>品牌</w:t>
            </w:r>
          </w:p>
        </w:tc>
        <w:tc>
          <w:tcPr>
            <w:tcW w:w="859"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E30BBC0">
            <w:pPr>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单价（元）</w:t>
            </w:r>
          </w:p>
        </w:tc>
        <w:tc>
          <w:tcPr>
            <w:tcW w:w="111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7307F13">
            <w:pPr>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总价（元）</w:t>
            </w:r>
          </w:p>
        </w:tc>
        <w:tc>
          <w:tcPr>
            <w:tcW w:w="103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70B99E64">
            <w:pPr>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备注</w:t>
            </w:r>
          </w:p>
        </w:tc>
      </w:tr>
      <w:tr w14:paraId="133509EC">
        <w:tblPrEx>
          <w:tblCellMar>
            <w:top w:w="0" w:type="dxa"/>
            <w:left w:w="0" w:type="dxa"/>
            <w:bottom w:w="0" w:type="dxa"/>
            <w:right w:w="0" w:type="dxa"/>
          </w:tblCellMar>
        </w:tblPrEx>
        <w:trPr>
          <w:trHeight w:val="1089" w:hRule="atLeast"/>
          <w:jc w:val="center"/>
        </w:trPr>
        <w:tc>
          <w:tcPr>
            <w:tcW w:w="544"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CEF7370">
            <w:pPr>
              <w:spacing w:line="360" w:lineRule="auto"/>
              <w:jc w:val="center"/>
              <w:rPr>
                <w:rFonts w:hint="eastAsia" w:ascii="宋体" w:hAnsi="宋体" w:eastAsia="宋体" w:cs="宋体"/>
                <w:kern w:val="0"/>
                <w:sz w:val="21"/>
                <w:szCs w:val="21"/>
              </w:rPr>
            </w:pPr>
          </w:p>
        </w:tc>
        <w:tc>
          <w:tcPr>
            <w:tcW w:w="1178" w:type="dxa"/>
            <w:tcBorders>
              <w:top w:val="nil"/>
              <w:left w:val="nil"/>
              <w:bottom w:val="single" w:color="auto" w:sz="4" w:space="0"/>
              <w:right w:val="single" w:color="auto" w:sz="4" w:space="0"/>
            </w:tcBorders>
            <w:tcMar>
              <w:top w:w="17" w:type="dxa"/>
              <w:left w:w="17" w:type="dxa"/>
              <w:bottom w:w="0" w:type="dxa"/>
              <w:right w:w="17" w:type="dxa"/>
            </w:tcMar>
            <w:vAlign w:val="center"/>
          </w:tcPr>
          <w:p w14:paraId="47621F60">
            <w:pPr>
              <w:spacing w:line="360" w:lineRule="auto"/>
              <w:jc w:val="center"/>
              <w:rPr>
                <w:rFonts w:hint="eastAsia" w:ascii="宋体" w:hAnsi="宋体" w:eastAsia="宋体" w:cs="宋体"/>
                <w:kern w:val="0"/>
                <w:sz w:val="21"/>
                <w:szCs w:val="21"/>
              </w:rPr>
            </w:pPr>
          </w:p>
        </w:tc>
        <w:tc>
          <w:tcPr>
            <w:tcW w:w="864" w:type="dxa"/>
            <w:tcBorders>
              <w:top w:val="nil"/>
              <w:left w:val="nil"/>
              <w:bottom w:val="single" w:color="auto" w:sz="4" w:space="0"/>
              <w:right w:val="single" w:color="auto" w:sz="4" w:space="0"/>
            </w:tcBorders>
            <w:tcMar>
              <w:top w:w="17" w:type="dxa"/>
              <w:left w:w="17" w:type="dxa"/>
              <w:bottom w:w="0" w:type="dxa"/>
              <w:right w:w="17" w:type="dxa"/>
            </w:tcMar>
            <w:vAlign w:val="center"/>
          </w:tcPr>
          <w:p w14:paraId="58D07271">
            <w:pPr>
              <w:spacing w:line="360" w:lineRule="auto"/>
              <w:jc w:val="center"/>
              <w:rPr>
                <w:rFonts w:hint="eastAsia" w:ascii="宋体" w:hAnsi="宋体" w:eastAsia="宋体" w:cs="宋体"/>
                <w:kern w:val="0"/>
                <w:sz w:val="21"/>
                <w:szCs w:val="21"/>
              </w:rPr>
            </w:pPr>
          </w:p>
        </w:tc>
        <w:tc>
          <w:tcPr>
            <w:tcW w:w="1151" w:type="dxa"/>
            <w:tcBorders>
              <w:top w:val="nil"/>
              <w:left w:val="nil"/>
              <w:bottom w:val="single" w:color="auto" w:sz="4" w:space="0"/>
              <w:right w:val="single" w:color="auto" w:sz="4" w:space="0"/>
            </w:tcBorders>
            <w:vAlign w:val="center"/>
          </w:tcPr>
          <w:p w14:paraId="31111CB4">
            <w:pPr>
              <w:spacing w:line="360" w:lineRule="auto"/>
              <w:jc w:val="center"/>
              <w:rPr>
                <w:rFonts w:hint="eastAsia" w:ascii="宋体" w:hAnsi="宋体" w:eastAsia="宋体" w:cs="宋体"/>
                <w:kern w:val="0"/>
                <w:sz w:val="21"/>
                <w:szCs w:val="21"/>
              </w:rPr>
            </w:pPr>
          </w:p>
        </w:tc>
        <w:tc>
          <w:tcPr>
            <w:tcW w:w="1072" w:type="dxa"/>
            <w:tcBorders>
              <w:top w:val="single" w:color="auto" w:sz="4" w:space="0"/>
              <w:left w:val="nil"/>
              <w:bottom w:val="single" w:color="auto" w:sz="4" w:space="0"/>
              <w:right w:val="single" w:color="auto" w:sz="4" w:space="0"/>
            </w:tcBorders>
            <w:vAlign w:val="center"/>
          </w:tcPr>
          <w:p w14:paraId="67E537CB">
            <w:pPr>
              <w:spacing w:line="360" w:lineRule="auto"/>
              <w:jc w:val="center"/>
              <w:rPr>
                <w:rFonts w:hint="eastAsia" w:ascii="宋体" w:hAnsi="宋体" w:eastAsia="宋体" w:cs="宋体"/>
                <w:kern w:val="0"/>
                <w:sz w:val="21"/>
                <w:szCs w:val="21"/>
              </w:rPr>
            </w:pPr>
          </w:p>
        </w:tc>
        <w:tc>
          <w:tcPr>
            <w:tcW w:w="779"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14:paraId="014895D4">
            <w:pPr>
              <w:spacing w:line="360" w:lineRule="auto"/>
              <w:jc w:val="center"/>
              <w:rPr>
                <w:rFonts w:hint="eastAsia" w:ascii="宋体" w:hAnsi="宋体" w:eastAsia="宋体" w:cs="宋体"/>
                <w:kern w:val="0"/>
                <w:sz w:val="21"/>
                <w:szCs w:val="21"/>
              </w:rPr>
            </w:pPr>
          </w:p>
        </w:tc>
        <w:tc>
          <w:tcPr>
            <w:tcW w:w="859" w:type="dxa"/>
            <w:tcBorders>
              <w:top w:val="nil"/>
              <w:left w:val="nil"/>
              <w:bottom w:val="single" w:color="auto" w:sz="4" w:space="0"/>
              <w:right w:val="single" w:color="auto" w:sz="4" w:space="0"/>
            </w:tcBorders>
            <w:tcMar>
              <w:top w:w="17" w:type="dxa"/>
              <w:left w:w="17" w:type="dxa"/>
              <w:bottom w:w="0" w:type="dxa"/>
              <w:right w:w="17" w:type="dxa"/>
            </w:tcMar>
            <w:vAlign w:val="center"/>
          </w:tcPr>
          <w:p w14:paraId="489C6AD4">
            <w:pPr>
              <w:spacing w:line="360" w:lineRule="auto"/>
              <w:jc w:val="center"/>
              <w:rPr>
                <w:rFonts w:hint="eastAsia" w:ascii="宋体" w:hAnsi="宋体" w:eastAsia="宋体" w:cs="宋体"/>
                <w:kern w:val="0"/>
                <w:sz w:val="21"/>
                <w:szCs w:val="21"/>
              </w:rPr>
            </w:pPr>
          </w:p>
        </w:tc>
        <w:tc>
          <w:tcPr>
            <w:tcW w:w="1118" w:type="dxa"/>
            <w:tcBorders>
              <w:top w:val="nil"/>
              <w:left w:val="nil"/>
              <w:bottom w:val="single" w:color="auto" w:sz="4" w:space="0"/>
              <w:right w:val="single" w:color="auto" w:sz="4" w:space="0"/>
            </w:tcBorders>
            <w:tcMar>
              <w:top w:w="17" w:type="dxa"/>
              <w:left w:w="17" w:type="dxa"/>
              <w:bottom w:w="0" w:type="dxa"/>
              <w:right w:w="17" w:type="dxa"/>
            </w:tcMar>
            <w:vAlign w:val="center"/>
          </w:tcPr>
          <w:p w14:paraId="4412D5A3">
            <w:pPr>
              <w:spacing w:line="360" w:lineRule="auto"/>
              <w:jc w:val="center"/>
              <w:rPr>
                <w:rFonts w:hint="eastAsia" w:ascii="宋体" w:hAnsi="宋体" w:eastAsia="宋体" w:cs="宋体"/>
                <w:kern w:val="0"/>
                <w:sz w:val="21"/>
                <w:szCs w:val="21"/>
              </w:rPr>
            </w:pPr>
          </w:p>
        </w:tc>
        <w:tc>
          <w:tcPr>
            <w:tcW w:w="1038" w:type="dxa"/>
            <w:tcBorders>
              <w:top w:val="nil"/>
              <w:left w:val="nil"/>
              <w:bottom w:val="single" w:color="auto" w:sz="4" w:space="0"/>
              <w:right w:val="single" w:color="auto" w:sz="4" w:space="0"/>
            </w:tcBorders>
            <w:tcMar>
              <w:top w:w="17" w:type="dxa"/>
              <w:left w:w="17" w:type="dxa"/>
              <w:bottom w:w="0" w:type="dxa"/>
              <w:right w:w="17" w:type="dxa"/>
            </w:tcMar>
            <w:vAlign w:val="center"/>
          </w:tcPr>
          <w:p w14:paraId="5611B550">
            <w:pPr>
              <w:spacing w:line="360" w:lineRule="auto"/>
              <w:jc w:val="center"/>
              <w:rPr>
                <w:rFonts w:hint="eastAsia" w:ascii="宋体" w:hAnsi="宋体" w:eastAsia="宋体" w:cs="宋体"/>
                <w:kern w:val="0"/>
                <w:sz w:val="21"/>
                <w:szCs w:val="21"/>
              </w:rPr>
            </w:pPr>
          </w:p>
        </w:tc>
      </w:tr>
      <w:tr w14:paraId="2A5AFB50">
        <w:tblPrEx>
          <w:tblCellMar>
            <w:top w:w="0" w:type="dxa"/>
            <w:left w:w="0" w:type="dxa"/>
            <w:bottom w:w="0" w:type="dxa"/>
            <w:right w:w="0" w:type="dxa"/>
          </w:tblCellMar>
        </w:tblPrEx>
        <w:trPr>
          <w:trHeight w:val="1089" w:hRule="atLeast"/>
          <w:jc w:val="center"/>
        </w:trPr>
        <w:tc>
          <w:tcPr>
            <w:tcW w:w="544"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A9CC880">
            <w:pPr>
              <w:spacing w:line="360" w:lineRule="auto"/>
              <w:jc w:val="center"/>
              <w:rPr>
                <w:rFonts w:hint="eastAsia" w:ascii="宋体" w:hAnsi="宋体" w:eastAsia="宋体" w:cs="宋体"/>
                <w:kern w:val="0"/>
                <w:sz w:val="21"/>
                <w:szCs w:val="21"/>
              </w:rPr>
            </w:pPr>
          </w:p>
        </w:tc>
        <w:tc>
          <w:tcPr>
            <w:tcW w:w="1178" w:type="dxa"/>
            <w:tcBorders>
              <w:top w:val="nil"/>
              <w:left w:val="nil"/>
              <w:bottom w:val="single" w:color="auto" w:sz="4" w:space="0"/>
              <w:right w:val="single" w:color="auto" w:sz="4" w:space="0"/>
            </w:tcBorders>
            <w:tcMar>
              <w:top w:w="17" w:type="dxa"/>
              <w:left w:w="17" w:type="dxa"/>
              <w:bottom w:w="0" w:type="dxa"/>
              <w:right w:w="17" w:type="dxa"/>
            </w:tcMar>
            <w:vAlign w:val="center"/>
          </w:tcPr>
          <w:p w14:paraId="1DEF7E08">
            <w:pPr>
              <w:spacing w:line="360" w:lineRule="auto"/>
              <w:jc w:val="center"/>
              <w:rPr>
                <w:rFonts w:hint="eastAsia" w:ascii="宋体" w:hAnsi="宋体" w:eastAsia="宋体" w:cs="宋体"/>
                <w:kern w:val="0"/>
                <w:sz w:val="21"/>
                <w:szCs w:val="21"/>
              </w:rPr>
            </w:pPr>
          </w:p>
        </w:tc>
        <w:tc>
          <w:tcPr>
            <w:tcW w:w="864" w:type="dxa"/>
            <w:tcBorders>
              <w:top w:val="nil"/>
              <w:left w:val="nil"/>
              <w:bottom w:val="single" w:color="auto" w:sz="4" w:space="0"/>
              <w:right w:val="single" w:color="auto" w:sz="4" w:space="0"/>
            </w:tcBorders>
            <w:tcMar>
              <w:top w:w="17" w:type="dxa"/>
              <w:left w:w="17" w:type="dxa"/>
              <w:bottom w:w="0" w:type="dxa"/>
              <w:right w:w="17" w:type="dxa"/>
            </w:tcMar>
            <w:vAlign w:val="center"/>
          </w:tcPr>
          <w:p w14:paraId="6E622AB5">
            <w:pPr>
              <w:spacing w:line="360" w:lineRule="auto"/>
              <w:jc w:val="center"/>
              <w:rPr>
                <w:rFonts w:hint="eastAsia" w:ascii="宋体" w:hAnsi="宋体" w:eastAsia="宋体" w:cs="宋体"/>
                <w:kern w:val="0"/>
                <w:sz w:val="21"/>
                <w:szCs w:val="21"/>
              </w:rPr>
            </w:pPr>
          </w:p>
        </w:tc>
        <w:tc>
          <w:tcPr>
            <w:tcW w:w="1151" w:type="dxa"/>
            <w:tcBorders>
              <w:top w:val="nil"/>
              <w:left w:val="nil"/>
              <w:bottom w:val="single" w:color="auto" w:sz="4" w:space="0"/>
              <w:right w:val="single" w:color="auto" w:sz="4" w:space="0"/>
            </w:tcBorders>
            <w:vAlign w:val="center"/>
          </w:tcPr>
          <w:p w14:paraId="1FB23E54">
            <w:pPr>
              <w:spacing w:line="360" w:lineRule="auto"/>
              <w:jc w:val="center"/>
              <w:rPr>
                <w:rFonts w:hint="eastAsia" w:ascii="宋体" w:hAnsi="宋体" w:eastAsia="宋体" w:cs="宋体"/>
                <w:kern w:val="0"/>
                <w:sz w:val="21"/>
                <w:szCs w:val="21"/>
              </w:rPr>
            </w:pPr>
          </w:p>
        </w:tc>
        <w:tc>
          <w:tcPr>
            <w:tcW w:w="1072" w:type="dxa"/>
            <w:tcBorders>
              <w:top w:val="single" w:color="auto" w:sz="4" w:space="0"/>
              <w:left w:val="nil"/>
              <w:bottom w:val="single" w:color="auto" w:sz="4" w:space="0"/>
              <w:right w:val="single" w:color="auto" w:sz="4" w:space="0"/>
            </w:tcBorders>
            <w:vAlign w:val="center"/>
          </w:tcPr>
          <w:p w14:paraId="63DEA9E6">
            <w:pPr>
              <w:spacing w:line="360" w:lineRule="auto"/>
              <w:jc w:val="center"/>
              <w:rPr>
                <w:rFonts w:hint="eastAsia" w:ascii="宋体" w:hAnsi="宋体" w:eastAsia="宋体" w:cs="宋体"/>
                <w:kern w:val="0"/>
                <w:sz w:val="21"/>
                <w:szCs w:val="21"/>
              </w:rPr>
            </w:pPr>
          </w:p>
        </w:tc>
        <w:tc>
          <w:tcPr>
            <w:tcW w:w="779"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14:paraId="55C5B1EE">
            <w:pPr>
              <w:spacing w:line="360" w:lineRule="auto"/>
              <w:jc w:val="center"/>
              <w:rPr>
                <w:rFonts w:hint="eastAsia" w:ascii="宋体" w:hAnsi="宋体" w:eastAsia="宋体" w:cs="宋体"/>
                <w:kern w:val="0"/>
                <w:sz w:val="21"/>
                <w:szCs w:val="21"/>
              </w:rPr>
            </w:pPr>
          </w:p>
        </w:tc>
        <w:tc>
          <w:tcPr>
            <w:tcW w:w="859" w:type="dxa"/>
            <w:tcBorders>
              <w:top w:val="nil"/>
              <w:left w:val="nil"/>
              <w:bottom w:val="single" w:color="auto" w:sz="4" w:space="0"/>
              <w:right w:val="single" w:color="auto" w:sz="4" w:space="0"/>
            </w:tcBorders>
            <w:tcMar>
              <w:top w:w="17" w:type="dxa"/>
              <w:left w:w="17" w:type="dxa"/>
              <w:bottom w:w="0" w:type="dxa"/>
              <w:right w:w="17" w:type="dxa"/>
            </w:tcMar>
            <w:vAlign w:val="center"/>
          </w:tcPr>
          <w:p w14:paraId="239689C3">
            <w:pPr>
              <w:spacing w:line="360" w:lineRule="auto"/>
              <w:jc w:val="center"/>
              <w:rPr>
                <w:rFonts w:hint="eastAsia" w:ascii="宋体" w:hAnsi="宋体" w:eastAsia="宋体" w:cs="宋体"/>
                <w:kern w:val="0"/>
                <w:sz w:val="21"/>
                <w:szCs w:val="21"/>
              </w:rPr>
            </w:pPr>
          </w:p>
        </w:tc>
        <w:tc>
          <w:tcPr>
            <w:tcW w:w="1118" w:type="dxa"/>
            <w:tcBorders>
              <w:top w:val="nil"/>
              <w:left w:val="nil"/>
              <w:bottom w:val="single" w:color="auto" w:sz="4" w:space="0"/>
              <w:right w:val="single" w:color="auto" w:sz="4" w:space="0"/>
            </w:tcBorders>
            <w:tcMar>
              <w:top w:w="17" w:type="dxa"/>
              <w:left w:w="17" w:type="dxa"/>
              <w:bottom w:w="0" w:type="dxa"/>
              <w:right w:w="17" w:type="dxa"/>
            </w:tcMar>
            <w:vAlign w:val="center"/>
          </w:tcPr>
          <w:p w14:paraId="17EFE22B">
            <w:pPr>
              <w:spacing w:line="360" w:lineRule="auto"/>
              <w:jc w:val="center"/>
              <w:rPr>
                <w:rFonts w:hint="eastAsia" w:ascii="宋体" w:hAnsi="宋体" w:eastAsia="宋体" w:cs="宋体"/>
                <w:kern w:val="0"/>
                <w:sz w:val="21"/>
                <w:szCs w:val="21"/>
              </w:rPr>
            </w:pPr>
          </w:p>
        </w:tc>
        <w:tc>
          <w:tcPr>
            <w:tcW w:w="1038" w:type="dxa"/>
            <w:tcBorders>
              <w:top w:val="nil"/>
              <w:left w:val="nil"/>
              <w:bottom w:val="single" w:color="auto" w:sz="4" w:space="0"/>
              <w:right w:val="single" w:color="auto" w:sz="4" w:space="0"/>
            </w:tcBorders>
            <w:tcMar>
              <w:top w:w="17" w:type="dxa"/>
              <w:left w:w="17" w:type="dxa"/>
              <w:bottom w:w="0" w:type="dxa"/>
              <w:right w:w="17" w:type="dxa"/>
            </w:tcMar>
            <w:vAlign w:val="center"/>
          </w:tcPr>
          <w:p w14:paraId="00AA1E97">
            <w:pPr>
              <w:spacing w:line="360" w:lineRule="auto"/>
              <w:jc w:val="center"/>
              <w:rPr>
                <w:rFonts w:hint="eastAsia" w:ascii="宋体" w:hAnsi="宋体" w:eastAsia="宋体" w:cs="宋体"/>
                <w:kern w:val="0"/>
                <w:sz w:val="21"/>
                <w:szCs w:val="21"/>
              </w:rPr>
            </w:pPr>
          </w:p>
        </w:tc>
      </w:tr>
      <w:tr w14:paraId="5378F725">
        <w:tblPrEx>
          <w:tblCellMar>
            <w:top w:w="0" w:type="dxa"/>
            <w:left w:w="0" w:type="dxa"/>
            <w:bottom w:w="0" w:type="dxa"/>
            <w:right w:w="0" w:type="dxa"/>
          </w:tblCellMar>
        </w:tblPrEx>
        <w:trPr>
          <w:trHeight w:val="1089" w:hRule="atLeast"/>
          <w:jc w:val="center"/>
        </w:trPr>
        <w:tc>
          <w:tcPr>
            <w:tcW w:w="544"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9760778">
            <w:pPr>
              <w:spacing w:line="360" w:lineRule="auto"/>
              <w:jc w:val="center"/>
              <w:rPr>
                <w:rFonts w:hint="eastAsia" w:ascii="宋体" w:hAnsi="宋体" w:eastAsia="宋体" w:cs="宋体"/>
                <w:kern w:val="0"/>
                <w:sz w:val="21"/>
                <w:szCs w:val="21"/>
              </w:rPr>
            </w:pPr>
          </w:p>
        </w:tc>
        <w:tc>
          <w:tcPr>
            <w:tcW w:w="1178" w:type="dxa"/>
            <w:tcBorders>
              <w:top w:val="nil"/>
              <w:left w:val="nil"/>
              <w:bottom w:val="single" w:color="auto" w:sz="4" w:space="0"/>
              <w:right w:val="single" w:color="auto" w:sz="4" w:space="0"/>
            </w:tcBorders>
            <w:tcMar>
              <w:top w:w="17" w:type="dxa"/>
              <w:left w:w="17" w:type="dxa"/>
              <w:bottom w:w="0" w:type="dxa"/>
              <w:right w:w="17" w:type="dxa"/>
            </w:tcMar>
            <w:vAlign w:val="center"/>
          </w:tcPr>
          <w:p w14:paraId="460A2467">
            <w:pPr>
              <w:spacing w:line="360" w:lineRule="auto"/>
              <w:jc w:val="center"/>
              <w:rPr>
                <w:rFonts w:hint="eastAsia" w:ascii="宋体" w:hAnsi="宋体" w:eastAsia="宋体" w:cs="宋体"/>
                <w:kern w:val="0"/>
                <w:sz w:val="21"/>
                <w:szCs w:val="21"/>
              </w:rPr>
            </w:pPr>
          </w:p>
        </w:tc>
        <w:tc>
          <w:tcPr>
            <w:tcW w:w="864" w:type="dxa"/>
            <w:tcBorders>
              <w:top w:val="nil"/>
              <w:left w:val="nil"/>
              <w:bottom w:val="single" w:color="auto" w:sz="4" w:space="0"/>
              <w:right w:val="single" w:color="auto" w:sz="4" w:space="0"/>
            </w:tcBorders>
            <w:tcMar>
              <w:top w:w="17" w:type="dxa"/>
              <w:left w:w="17" w:type="dxa"/>
              <w:bottom w:w="0" w:type="dxa"/>
              <w:right w:w="17" w:type="dxa"/>
            </w:tcMar>
            <w:vAlign w:val="center"/>
          </w:tcPr>
          <w:p w14:paraId="62432983">
            <w:pPr>
              <w:spacing w:line="360" w:lineRule="auto"/>
              <w:jc w:val="center"/>
              <w:rPr>
                <w:rFonts w:hint="eastAsia" w:ascii="宋体" w:hAnsi="宋体" w:eastAsia="宋体" w:cs="宋体"/>
                <w:kern w:val="0"/>
                <w:sz w:val="21"/>
                <w:szCs w:val="21"/>
              </w:rPr>
            </w:pPr>
          </w:p>
        </w:tc>
        <w:tc>
          <w:tcPr>
            <w:tcW w:w="1151" w:type="dxa"/>
            <w:tcBorders>
              <w:top w:val="nil"/>
              <w:left w:val="nil"/>
              <w:bottom w:val="single" w:color="auto" w:sz="4" w:space="0"/>
              <w:right w:val="single" w:color="auto" w:sz="4" w:space="0"/>
            </w:tcBorders>
            <w:vAlign w:val="center"/>
          </w:tcPr>
          <w:p w14:paraId="4B077B83">
            <w:pPr>
              <w:spacing w:line="360" w:lineRule="auto"/>
              <w:jc w:val="center"/>
              <w:rPr>
                <w:rFonts w:hint="eastAsia" w:ascii="宋体" w:hAnsi="宋体" w:eastAsia="宋体" w:cs="宋体"/>
                <w:kern w:val="0"/>
                <w:sz w:val="21"/>
                <w:szCs w:val="21"/>
              </w:rPr>
            </w:pPr>
          </w:p>
        </w:tc>
        <w:tc>
          <w:tcPr>
            <w:tcW w:w="1072" w:type="dxa"/>
            <w:tcBorders>
              <w:top w:val="single" w:color="auto" w:sz="4" w:space="0"/>
              <w:left w:val="nil"/>
              <w:bottom w:val="single" w:color="auto" w:sz="4" w:space="0"/>
              <w:right w:val="single" w:color="auto" w:sz="4" w:space="0"/>
            </w:tcBorders>
            <w:vAlign w:val="center"/>
          </w:tcPr>
          <w:p w14:paraId="5DA836E7">
            <w:pPr>
              <w:spacing w:line="360" w:lineRule="auto"/>
              <w:jc w:val="center"/>
              <w:rPr>
                <w:rFonts w:hint="eastAsia" w:ascii="宋体" w:hAnsi="宋体" w:eastAsia="宋体" w:cs="宋体"/>
                <w:kern w:val="0"/>
                <w:sz w:val="21"/>
                <w:szCs w:val="21"/>
              </w:rPr>
            </w:pPr>
          </w:p>
        </w:tc>
        <w:tc>
          <w:tcPr>
            <w:tcW w:w="779"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14:paraId="56E364DA">
            <w:pPr>
              <w:spacing w:line="360" w:lineRule="auto"/>
              <w:jc w:val="center"/>
              <w:rPr>
                <w:rFonts w:hint="eastAsia" w:ascii="宋体" w:hAnsi="宋体" w:eastAsia="宋体" w:cs="宋体"/>
                <w:kern w:val="0"/>
                <w:sz w:val="21"/>
                <w:szCs w:val="21"/>
              </w:rPr>
            </w:pPr>
          </w:p>
        </w:tc>
        <w:tc>
          <w:tcPr>
            <w:tcW w:w="859" w:type="dxa"/>
            <w:tcBorders>
              <w:top w:val="nil"/>
              <w:left w:val="nil"/>
              <w:bottom w:val="single" w:color="auto" w:sz="4" w:space="0"/>
              <w:right w:val="single" w:color="auto" w:sz="4" w:space="0"/>
            </w:tcBorders>
            <w:tcMar>
              <w:top w:w="17" w:type="dxa"/>
              <w:left w:w="17" w:type="dxa"/>
              <w:bottom w:w="0" w:type="dxa"/>
              <w:right w:w="17" w:type="dxa"/>
            </w:tcMar>
            <w:vAlign w:val="center"/>
          </w:tcPr>
          <w:p w14:paraId="25646DDA">
            <w:pPr>
              <w:spacing w:line="360" w:lineRule="auto"/>
              <w:jc w:val="center"/>
              <w:rPr>
                <w:rFonts w:hint="eastAsia" w:ascii="宋体" w:hAnsi="宋体" w:eastAsia="宋体" w:cs="宋体"/>
                <w:kern w:val="0"/>
                <w:sz w:val="21"/>
                <w:szCs w:val="21"/>
              </w:rPr>
            </w:pPr>
          </w:p>
        </w:tc>
        <w:tc>
          <w:tcPr>
            <w:tcW w:w="1118" w:type="dxa"/>
            <w:tcBorders>
              <w:top w:val="nil"/>
              <w:left w:val="nil"/>
              <w:bottom w:val="single" w:color="auto" w:sz="4" w:space="0"/>
              <w:right w:val="single" w:color="auto" w:sz="4" w:space="0"/>
            </w:tcBorders>
            <w:tcMar>
              <w:top w:w="17" w:type="dxa"/>
              <w:left w:w="17" w:type="dxa"/>
              <w:bottom w:w="0" w:type="dxa"/>
              <w:right w:w="17" w:type="dxa"/>
            </w:tcMar>
            <w:vAlign w:val="center"/>
          </w:tcPr>
          <w:p w14:paraId="642A4A2F">
            <w:pPr>
              <w:spacing w:line="360" w:lineRule="auto"/>
              <w:jc w:val="center"/>
              <w:rPr>
                <w:rFonts w:hint="eastAsia" w:ascii="宋体" w:hAnsi="宋体" w:eastAsia="宋体" w:cs="宋体"/>
                <w:kern w:val="0"/>
                <w:sz w:val="21"/>
                <w:szCs w:val="21"/>
              </w:rPr>
            </w:pPr>
          </w:p>
        </w:tc>
        <w:tc>
          <w:tcPr>
            <w:tcW w:w="1038" w:type="dxa"/>
            <w:tcBorders>
              <w:top w:val="nil"/>
              <w:left w:val="nil"/>
              <w:bottom w:val="single" w:color="auto" w:sz="4" w:space="0"/>
              <w:right w:val="single" w:color="auto" w:sz="4" w:space="0"/>
            </w:tcBorders>
            <w:tcMar>
              <w:top w:w="17" w:type="dxa"/>
              <w:left w:w="17" w:type="dxa"/>
              <w:bottom w:w="0" w:type="dxa"/>
              <w:right w:w="17" w:type="dxa"/>
            </w:tcMar>
            <w:vAlign w:val="center"/>
          </w:tcPr>
          <w:p w14:paraId="126D298A">
            <w:pPr>
              <w:spacing w:line="360" w:lineRule="auto"/>
              <w:jc w:val="center"/>
              <w:rPr>
                <w:rFonts w:hint="eastAsia" w:ascii="宋体" w:hAnsi="宋体" w:eastAsia="宋体" w:cs="宋体"/>
                <w:kern w:val="0"/>
                <w:sz w:val="21"/>
                <w:szCs w:val="21"/>
              </w:rPr>
            </w:pPr>
          </w:p>
        </w:tc>
      </w:tr>
      <w:tr w14:paraId="0D9669C7">
        <w:tblPrEx>
          <w:tblCellMar>
            <w:top w:w="0" w:type="dxa"/>
            <w:left w:w="0" w:type="dxa"/>
            <w:bottom w:w="0" w:type="dxa"/>
            <w:right w:w="0" w:type="dxa"/>
          </w:tblCellMar>
        </w:tblPrEx>
        <w:trPr>
          <w:trHeight w:val="1089" w:hRule="atLeast"/>
          <w:jc w:val="center"/>
        </w:trPr>
        <w:tc>
          <w:tcPr>
            <w:tcW w:w="544"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CDDE520">
            <w:pPr>
              <w:spacing w:line="360" w:lineRule="auto"/>
              <w:jc w:val="center"/>
              <w:rPr>
                <w:rFonts w:hint="eastAsia" w:ascii="宋体" w:hAnsi="宋体" w:eastAsia="宋体" w:cs="宋体"/>
                <w:kern w:val="0"/>
                <w:sz w:val="21"/>
                <w:szCs w:val="21"/>
              </w:rPr>
            </w:pPr>
          </w:p>
        </w:tc>
        <w:tc>
          <w:tcPr>
            <w:tcW w:w="1178" w:type="dxa"/>
            <w:tcBorders>
              <w:top w:val="nil"/>
              <w:left w:val="nil"/>
              <w:bottom w:val="single" w:color="auto" w:sz="4" w:space="0"/>
              <w:right w:val="single" w:color="auto" w:sz="4" w:space="0"/>
            </w:tcBorders>
            <w:tcMar>
              <w:top w:w="17" w:type="dxa"/>
              <w:left w:w="17" w:type="dxa"/>
              <w:bottom w:w="0" w:type="dxa"/>
              <w:right w:w="17" w:type="dxa"/>
            </w:tcMar>
            <w:vAlign w:val="center"/>
          </w:tcPr>
          <w:p w14:paraId="7803909A">
            <w:pPr>
              <w:spacing w:line="360" w:lineRule="auto"/>
              <w:jc w:val="center"/>
              <w:rPr>
                <w:rFonts w:hint="eastAsia" w:ascii="宋体" w:hAnsi="宋体" w:eastAsia="宋体" w:cs="宋体"/>
                <w:kern w:val="0"/>
                <w:sz w:val="21"/>
                <w:szCs w:val="21"/>
              </w:rPr>
            </w:pPr>
          </w:p>
        </w:tc>
        <w:tc>
          <w:tcPr>
            <w:tcW w:w="864" w:type="dxa"/>
            <w:tcBorders>
              <w:top w:val="nil"/>
              <w:left w:val="nil"/>
              <w:bottom w:val="single" w:color="auto" w:sz="4" w:space="0"/>
              <w:right w:val="single" w:color="auto" w:sz="4" w:space="0"/>
            </w:tcBorders>
            <w:tcMar>
              <w:top w:w="17" w:type="dxa"/>
              <w:left w:w="17" w:type="dxa"/>
              <w:bottom w:w="0" w:type="dxa"/>
              <w:right w:w="17" w:type="dxa"/>
            </w:tcMar>
            <w:vAlign w:val="center"/>
          </w:tcPr>
          <w:p w14:paraId="70D55A09">
            <w:pPr>
              <w:spacing w:line="360" w:lineRule="auto"/>
              <w:jc w:val="center"/>
              <w:rPr>
                <w:rFonts w:hint="eastAsia" w:ascii="宋体" w:hAnsi="宋体" w:eastAsia="宋体" w:cs="宋体"/>
                <w:kern w:val="0"/>
                <w:sz w:val="21"/>
                <w:szCs w:val="21"/>
              </w:rPr>
            </w:pPr>
          </w:p>
        </w:tc>
        <w:tc>
          <w:tcPr>
            <w:tcW w:w="1151" w:type="dxa"/>
            <w:tcBorders>
              <w:top w:val="nil"/>
              <w:left w:val="nil"/>
              <w:bottom w:val="single" w:color="auto" w:sz="4" w:space="0"/>
              <w:right w:val="single" w:color="auto" w:sz="4" w:space="0"/>
            </w:tcBorders>
            <w:vAlign w:val="center"/>
          </w:tcPr>
          <w:p w14:paraId="167D61B3">
            <w:pPr>
              <w:spacing w:line="360" w:lineRule="auto"/>
              <w:jc w:val="center"/>
              <w:rPr>
                <w:rFonts w:hint="eastAsia" w:ascii="宋体" w:hAnsi="宋体" w:eastAsia="宋体" w:cs="宋体"/>
                <w:kern w:val="0"/>
                <w:sz w:val="21"/>
                <w:szCs w:val="21"/>
              </w:rPr>
            </w:pPr>
          </w:p>
        </w:tc>
        <w:tc>
          <w:tcPr>
            <w:tcW w:w="1072" w:type="dxa"/>
            <w:tcBorders>
              <w:top w:val="single" w:color="auto" w:sz="4" w:space="0"/>
              <w:left w:val="nil"/>
              <w:bottom w:val="single" w:color="auto" w:sz="4" w:space="0"/>
              <w:right w:val="single" w:color="auto" w:sz="4" w:space="0"/>
            </w:tcBorders>
            <w:vAlign w:val="center"/>
          </w:tcPr>
          <w:p w14:paraId="62AC4C81">
            <w:pPr>
              <w:spacing w:line="360" w:lineRule="auto"/>
              <w:jc w:val="center"/>
              <w:rPr>
                <w:rFonts w:hint="eastAsia" w:ascii="宋体" w:hAnsi="宋体" w:eastAsia="宋体" w:cs="宋体"/>
                <w:kern w:val="0"/>
                <w:sz w:val="21"/>
                <w:szCs w:val="21"/>
              </w:rPr>
            </w:pPr>
          </w:p>
        </w:tc>
        <w:tc>
          <w:tcPr>
            <w:tcW w:w="779" w:type="dxa"/>
            <w:tcBorders>
              <w:top w:val="nil"/>
              <w:left w:val="single" w:color="auto" w:sz="4" w:space="0"/>
              <w:bottom w:val="single" w:color="auto" w:sz="4" w:space="0"/>
              <w:right w:val="single" w:color="auto" w:sz="4" w:space="0"/>
            </w:tcBorders>
            <w:tcMar>
              <w:top w:w="17" w:type="dxa"/>
              <w:left w:w="17" w:type="dxa"/>
              <w:bottom w:w="0" w:type="dxa"/>
              <w:right w:w="17" w:type="dxa"/>
            </w:tcMar>
            <w:vAlign w:val="center"/>
          </w:tcPr>
          <w:p w14:paraId="390DA5A0">
            <w:pPr>
              <w:spacing w:line="360" w:lineRule="auto"/>
              <w:jc w:val="center"/>
              <w:rPr>
                <w:rFonts w:hint="eastAsia" w:ascii="宋体" w:hAnsi="宋体" w:eastAsia="宋体" w:cs="宋体"/>
                <w:kern w:val="0"/>
                <w:sz w:val="21"/>
                <w:szCs w:val="21"/>
              </w:rPr>
            </w:pPr>
          </w:p>
        </w:tc>
        <w:tc>
          <w:tcPr>
            <w:tcW w:w="859" w:type="dxa"/>
            <w:tcBorders>
              <w:top w:val="nil"/>
              <w:left w:val="nil"/>
              <w:bottom w:val="single" w:color="auto" w:sz="4" w:space="0"/>
              <w:right w:val="single" w:color="auto" w:sz="4" w:space="0"/>
            </w:tcBorders>
            <w:tcMar>
              <w:top w:w="17" w:type="dxa"/>
              <w:left w:w="17" w:type="dxa"/>
              <w:bottom w:w="0" w:type="dxa"/>
              <w:right w:w="17" w:type="dxa"/>
            </w:tcMar>
            <w:vAlign w:val="center"/>
          </w:tcPr>
          <w:p w14:paraId="648AAC12">
            <w:pPr>
              <w:spacing w:line="360" w:lineRule="auto"/>
              <w:jc w:val="center"/>
              <w:rPr>
                <w:rFonts w:hint="eastAsia" w:ascii="宋体" w:hAnsi="宋体" w:eastAsia="宋体" w:cs="宋体"/>
                <w:kern w:val="0"/>
                <w:sz w:val="21"/>
                <w:szCs w:val="21"/>
              </w:rPr>
            </w:pPr>
          </w:p>
        </w:tc>
        <w:tc>
          <w:tcPr>
            <w:tcW w:w="1118" w:type="dxa"/>
            <w:tcBorders>
              <w:top w:val="nil"/>
              <w:left w:val="nil"/>
              <w:bottom w:val="single" w:color="auto" w:sz="4" w:space="0"/>
              <w:right w:val="single" w:color="auto" w:sz="4" w:space="0"/>
            </w:tcBorders>
            <w:tcMar>
              <w:top w:w="17" w:type="dxa"/>
              <w:left w:w="17" w:type="dxa"/>
              <w:bottom w:w="0" w:type="dxa"/>
              <w:right w:w="17" w:type="dxa"/>
            </w:tcMar>
            <w:vAlign w:val="center"/>
          </w:tcPr>
          <w:p w14:paraId="3E2AF3C7">
            <w:pPr>
              <w:spacing w:line="360" w:lineRule="auto"/>
              <w:jc w:val="center"/>
              <w:rPr>
                <w:rFonts w:hint="eastAsia" w:ascii="宋体" w:hAnsi="宋体" w:eastAsia="宋体" w:cs="宋体"/>
                <w:kern w:val="0"/>
                <w:sz w:val="21"/>
                <w:szCs w:val="21"/>
              </w:rPr>
            </w:pPr>
          </w:p>
        </w:tc>
        <w:tc>
          <w:tcPr>
            <w:tcW w:w="1038" w:type="dxa"/>
            <w:tcBorders>
              <w:top w:val="nil"/>
              <w:left w:val="nil"/>
              <w:bottom w:val="single" w:color="auto" w:sz="4" w:space="0"/>
              <w:right w:val="single" w:color="auto" w:sz="4" w:space="0"/>
            </w:tcBorders>
            <w:tcMar>
              <w:top w:w="17" w:type="dxa"/>
              <w:left w:w="17" w:type="dxa"/>
              <w:bottom w:w="0" w:type="dxa"/>
              <w:right w:w="17" w:type="dxa"/>
            </w:tcMar>
            <w:vAlign w:val="center"/>
          </w:tcPr>
          <w:p w14:paraId="59B4CE75">
            <w:pPr>
              <w:spacing w:line="360" w:lineRule="auto"/>
              <w:jc w:val="center"/>
              <w:rPr>
                <w:rFonts w:hint="eastAsia" w:ascii="宋体" w:hAnsi="宋体" w:eastAsia="宋体" w:cs="宋体"/>
                <w:kern w:val="0"/>
                <w:sz w:val="21"/>
                <w:szCs w:val="21"/>
              </w:rPr>
            </w:pPr>
          </w:p>
        </w:tc>
      </w:tr>
      <w:tr w14:paraId="1CEFEE20">
        <w:tblPrEx>
          <w:tblCellMar>
            <w:top w:w="0" w:type="dxa"/>
            <w:left w:w="0" w:type="dxa"/>
            <w:bottom w:w="0" w:type="dxa"/>
            <w:right w:w="0" w:type="dxa"/>
          </w:tblCellMar>
        </w:tblPrEx>
        <w:trPr>
          <w:trHeight w:val="1472" w:hRule="atLeast"/>
          <w:jc w:val="center"/>
        </w:trPr>
        <w:tc>
          <w:tcPr>
            <w:tcW w:w="544"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AC6B023">
            <w:pPr>
              <w:spacing w:line="360" w:lineRule="auto"/>
              <w:jc w:val="center"/>
              <w:rPr>
                <w:rFonts w:hint="eastAsia" w:ascii="宋体" w:hAnsi="宋体" w:eastAsia="宋体" w:cs="宋体"/>
                <w:kern w:val="0"/>
                <w:sz w:val="21"/>
                <w:szCs w:val="21"/>
              </w:rPr>
            </w:pPr>
          </w:p>
        </w:tc>
        <w:tc>
          <w:tcPr>
            <w:tcW w:w="1178"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02ED86D">
            <w:pPr>
              <w:spacing w:line="360" w:lineRule="auto"/>
              <w:jc w:val="center"/>
              <w:rPr>
                <w:rFonts w:hint="eastAsia" w:ascii="宋体" w:hAnsi="宋体" w:eastAsia="宋体" w:cs="宋体"/>
                <w:sz w:val="21"/>
                <w:szCs w:val="21"/>
              </w:rPr>
            </w:pPr>
          </w:p>
        </w:tc>
        <w:tc>
          <w:tcPr>
            <w:tcW w:w="864"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DFC9C87">
            <w:pPr>
              <w:spacing w:line="360" w:lineRule="auto"/>
              <w:jc w:val="center"/>
              <w:rPr>
                <w:rFonts w:hint="eastAsia" w:ascii="宋体" w:hAnsi="宋体" w:eastAsia="宋体" w:cs="宋体"/>
                <w:sz w:val="21"/>
                <w:szCs w:val="21"/>
              </w:rPr>
            </w:pPr>
          </w:p>
        </w:tc>
        <w:tc>
          <w:tcPr>
            <w:tcW w:w="115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803C6F2">
            <w:pPr>
              <w:spacing w:line="360" w:lineRule="auto"/>
              <w:jc w:val="center"/>
              <w:rPr>
                <w:rFonts w:hint="eastAsia" w:ascii="宋体" w:hAnsi="宋体" w:eastAsia="宋体" w:cs="宋体"/>
                <w:sz w:val="21"/>
                <w:szCs w:val="21"/>
              </w:rPr>
            </w:pPr>
          </w:p>
        </w:tc>
        <w:tc>
          <w:tcPr>
            <w:tcW w:w="1072"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153D218">
            <w:pPr>
              <w:spacing w:line="360" w:lineRule="auto"/>
              <w:jc w:val="center"/>
              <w:rPr>
                <w:rFonts w:hint="eastAsia" w:ascii="宋体" w:hAnsi="宋体" w:eastAsia="宋体" w:cs="宋体"/>
                <w:sz w:val="21"/>
                <w:szCs w:val="21"/>
              </w:rPr>
            </w:pPr>
          </w:p>
        </w:tc>
        <w:tc>
          <w:tcPr>
            <w:tcW w:w="77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96C45DF">
            <w:pPr>
              <w:spacing w:line="360" w:lineRule="auto"/>
              <w:jc w:val="center"/>
              <w:rPr>
                <w:rFonts w:hint="eastAsia" w:ascii="宋体" w:hAnsi="宋体" w:eastAsia="宋体" w:cs="宋体"/>
                <w:sz w:val="21"/>
                <w:szCs w:val="21"/>
              </w:rPr>
            </w:pPr>
          </w:p>
        </w:tc>
        <w:tc>
          <w:tcPr>
            <w:tcW w:w="85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9C000E9">
            <w:pPr>
              <w:spacing w:line="360" w:lineRule="auto"/>
              <w:jc w:val="center"/>
              <w:rPr>
                <w:rFonts w:hint="eastAsia" w:ascii="宋体" w:hAnsi="宋体" w:eastAsia="宋体" w:cs="宋体"/>
                <w:sz w:val="21"/>
                <w:szCs w:val="21"/>
              </w:rPr>
            </w:pPr>
          </w:p>
        </w:tc>
        <w:tc>
          <w:tcPr>
            <w:tcW w:w="1118"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8EFE94E">
            <w:pPr>
              <w:spacing w:line="360" w:lineRule="auto"/>
              <w:jc w:val="center"/>
              <w:rPr>
                <w:rFonts w:hint="eastAsia" w:ascii="宋体" w:hAnsi="宋体" w:eastAsia="宋体" w:cs="宋体"/>
                <w:sz w:val="21"/>
                <w:szCs w:val="21"/>
              </w:rPr>
            </w:pPr>
          </w:p>
        </w:tc>
        <w:tc>
          <w:tcPr>
            <w:tcW w:w="1038"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94ACB38">
            <w:pPr>
              <w:spacing w:line="360" w:lineRule="auto"/>
              <w:jc w:val="center"/>
              <w:rPr>
                <w:rFonts w:hint="eastAsia" w:ascii="宋体" w:hAnsi="宋体" w:eastAsia="宋体" w:cs="宋体"/>
                <w:sz w:val="21"/>
                <w:szCs w:val="21"/>
              </w:rPr>
            </w:pPr>
          </w:p>
        </w:tc>
      </w:tr>
      <w:tr w14:paraId="3D714B5E">
        <w:tblPrEx>
          <w:tblCellMar>
            <w:top w:w="0" w:type="dxa"/>
            <w:left w:w="0" w:type="dxa"/>
            <w:bottom w:w="0" w:type="dxa"/>
            <w:right w:w="0" w:type="dxa"/>
          </w:tblCellMar>
        </w:tblPrEx>
        <w:trPr>
          <w:trHeight w:val="904" w:hRule="atLeast"/>
          <w:jc w:val="center"/>
        </w:trPr>
        <w:tc>
          <w:tcPr>
            <w:tcW w:w="544"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ED67369">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合计</w:t>
            </w:r>
          </w:p>
        </w:tc>
        <w:tc>
          <w:tcPr>
            <w:tcW w:w="8059" w:type="dxa"/>
            <w:gridSpan w:val="8"/>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2A20A95">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总价：</w:t>
            </w:r>
          </w:p>
        </w:tc>
      </w:tr>
    </w:tbl>
    <w:p w14:paraId="5129C57A">
      <w:pPr>
        <w:spacing w:line="360" w:lineRule="auto"/>
        <w:ind w:firstLine="210" w:firstLineChars="100"/>
        <w:jc w:val="left"/>
        <w:rPr>
          <w:rFonts w:hint="eastAsia" w:ascii="宋体" w:hAnsi="宋体" w:eastAsia="宋体" w:cs="宋体"/>
          <w:kern w:val="0"/>
          <w:sz w:val="21"/>
          <w:szCs w:val="21"/>
        </w:rPr>
      </w:pPr>
      <w:r>
        <w:rPr>
          <w:rFonts w:hint="eastAsia" w:ascii="宋体" w:hAnsi="宋体" w:eastAsia="宋体" w:cs="宋体"/>
          <w:sz w:val="21"/>
          <w:szCs w:val="21"/>
        </w:rPr>
        <w:t>备注：投标报价应包含：投标人投标报价包括完成该项目成本、利润、验收费、手续费、包装费、运输费、保险费、安装费、调试费、售前、售中、售后服务费、税金及不可预见费等全部费用。</w:t>
      </w:r>
    </w:p>
    <w:p w14:paraId="57C03977">
      <w:pPr>
        <w:spacing w:line="360" w:lineRule="auto"/>
        <w:ind w:firstLine="210" w:firstLineChars="100"/>
        <w:jc w:val="left"/>
        <w:rPr>
          <w:rFonts w:hint="eastAsia" w:ascii="宋体" w:hAnsi="宋体" w:eastAsia="宋体" w:cs="宋体"/>
          <w:kern w:val="0"/>
          <w:sz w:val="21"/>
          <w:szCs w:val="21"/>
        </w:rPr>
      </w:pPr>
      <w:r>
        <w:rPr>
          <w:rFonts w:hint="eastAsia" w:ascii="宋体" w:hAnsi="宋体" w:eastAsia="宋体" w:cs="宋体"/>
          <w:kern w:val="0"/>
          <w:sz w:val="21"/>
          <w:szCs w:val="21"/>
        </w:rPr>
        <w:t>（表格不够可续页）</w:t>
      </w:r>
    </w:p>
    <w:p w14:paraId="6ED52C5F">
      <w:pPr>
        <w:spacing w:line="360" w:lineRule="auto"/>
        <w:jc w:val="right"/>
        <w:rPr>
          <w:rFonts w:hint="eastAsia" w:ascii="宋体" w:hAnsi="宋体" w:eastAsia="宋体" w:cs="宋体"/>
          <w:sz w:val="21"/>
          <w:szCs w:val="21"/>
        </w:rPr>
      </w:pPr>
    </w:p>
    <w:p w14:paraId="37B97827">
      <w:pPr>
        <w:spacing w:line="360" w:lineRule="auto"/>
        <w:jc w:val="right"/>
        <w:rPr>
          <w:rFonts w:hint="eastAsia" w:ascii="宋体" w:hAnsi="宋体" w:eastAsia="宋体" w:cs="宋体"/>
          <w:sz w:val="21"/>
          <w:szCs w:val="21"/>
        </w:rPr>
      </w:pPr>
    </w:p>
    <w:p w14:paraId="1830522A">
      <w:pPr>
        <w:spacing w:line="360" w:lineRule="auto"/>
        <w:jc w:val="right"/>
        <w:rPr>
          <w:rFonts w:hint="eastAsia" w:ascii="宋体" w:hAnsi="宋体" w:eastAsia="宋体" w:cs="宋体"/>
          <w:sz w:val="21"/>
          <w:szCs w:val="21"/>
        </w:rPr>
      </w:pPr>
    </w:p>
    <w:p w14:paraId="17DCCDAE">
      <w:pPr>
        <w:spacing w:line="360" w:lineRule="auto"/>
        <w:jc w:val="right"/>
        <w:rPr>
          <w:rFonts w:hint="eastAsia" w:ascii="宋体" w:hAnsi="宋体" w:eastAsia="宋体" w:cs="宋体"/>
          <w:sz w:val="21"/>
          <w:szCs w:val="21"/>
          <w:u w:val="single"/>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w:t>
      </w:r>
      <w:r>
        <w:rPr>
          <w:rFonts w:hint="eastAsia" w:ascii="宋体" w:hAnsi="宋体" w:eastAsia="宋体" w:cs="宋体"/>
          <w:sz w:val="21"/>
          <w:szCs w:val="21"/>
        </w:rPr>
        <w:t>（电子签章）</w:t>
      </w:r>
    </w:p>
    <w:p w14:paraId="3FF20C07">
      <w:pPr>
        <w:spacing w:line="360" w:lineRule="auto"/>
        <w:jc w:val="right"/>
        <w:rPr>
          <w:rFonts w:hint="eastAsia" w:ascii="宋体" w:hAnsi="宋体" w:eastAsia="宋体" w:cs="宋体"/>
          <w:sz w:val="21"/>
          <w:szCs w:val="21"/>
        </w:rPr>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（电子签章）</w:t>
      </w:r>
    </w:p>
    <w:p w14:paraId="2AF365D3">
      <w:pPr>
        <w:spacing w:line="360" w:lineRule="auto"/>
        <w:jc w:val="right"/>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bookmarkEnd w:id="273"/>
    <w:p w14:paraId="5EF1ACCD">
      <w:pPr>
        <w:spacing w:line="360" w:lineRule="auto"/>
        <w:jc w:val="center"/>
        <w:outlineLvl w:val="1"/>
        <w:rPr>
          <w:rFonts w:hint="eastAsia" w:ascii="宋体" w:hAnsi="宋体" w:eastAsia="宋体" w:cs="宋体"/>
          <w:b/>
          <w:sz w:val="21"/>
          <w:szCs w:val="21"/>
        </w:rPr>
      </w:pPr>
      <w:bookmarkStart w:id="274" w:name="_Toc152045795"/>
      <w:bookmarkStart w:id="275" w:name="_Toc4540"/>
      <w:bookmarkStart w:id="276" w:name="_Toc179632815"/>
      <w:bookmarkStart w:id="277" w:name="_Toc29989164"/>
      <w:bookmarkStart w:id="278" w:name="_Toc152042584"/>
      <w:bookmarkStart w:id="279" w:name="_Toc246996363"/>
      <w:bookmarkStart w:id="280" w:name="_Hlk122705787"/>
      <w:bookmarkStart w:id="281" w:name="_Toc247085881"/>
      <w:bookmarkStart w:id="282" w:name="_Toc144974863"/>
      <w:bookmarkStart w:id="283" w:name="_Toc246997106"/>
      <w:bookmarkStart w:id="284" w:name="_Toc118733377"/>
    </w:p>
    <w:p w14:paraId="7136D85F">
      <w:pPr>
        <w:spacing w:line="360" w:lineRule="auto"/>
        <w:jc w:val="center"/>
        <w:outlineLvl w:val="1"/>
        <w:rPr>
          <w:rFonts w:hint="eastAsia" w:ascii="宋体" w:hAnsi="宋体" w:eastAsia="宋体" w:cs="宋体"/>
          <w:sz w:val="21"/>
          <w:szCs w:val="21"/>
        </w:rPr>
      </w:pPr>
      <w:r>
        <w:rPr>
          <w:rFonts w:hint="eastAsia" w:ascii="宋体" w:hAnsi="宋体" w:eastAsia="宋体" w:cs="宋体"/>
          <w:b/>
          <w:sz w:val="21"/>
          <w:szCs w:val="21"/>
        </w:rPr>
        <w:t>五、</w:t>
      </w:r>
      <w:bookmarkEnd w:id="274"/>
      <w:bookmarkEnd w:id="275"/>
      <w:bookmarkEnd w:id="276"/>
      <w:bookmarkEnd w:id="277"/>
      <w:bookmarkEnd w:id="278"/>
      <w:bookmarkEnd w:id="279"/>
      <w:bookmarkEnd w:id="280"/>
      <w:bookmarkEnd w:id="281"/>
      <w:bookmarkEnd w:id="282"/>
      <w:bookmarkEnd w:id="283"/>
      <w:bookmarkEnd w:id="284"/>
      <w:r>
        <w:rPr>
          <w:rFonts w:hint="eastAsia" w:ascii="宋体" w:hAnsi="宋体" w:eastAsia="宋体" w:cs="宋体"/>
          <w:b/>
          <w:sz w:val="21"/>
          <w:szCs w:val="21"/>
        </w:rPr>
        <w:t>技术要求响应偏离表</w:t>
      </w:r>
    </w:p>
    <w:tbl>
      <w:tblPr>
        <w:tblStyle w:val="21"/>
        <w:tblW w:w="9194" w:type="dxa"/>
        <w:jc w:val="center"/>
        <w:tblLayout w:type="fixed"/>
        <w:tblCellMar>
          <w:top w:w="0" w:type="dxa"/>
          <w:left w:w="108" w:type="dxa"/>
          <w:bottom w:w="0" w:type="dxa"/>
          <w:right w:w="108" w:type="dxa"/>
        </w:tblCellMar>
      </w:tblPr>
      <w:tblGrid>
        <w:gridCol w:w="709"/>
        <w:gridCol w:w="1129"/>
        <w:gridCol w:w="2268"/>
        <w:gridCol w:w="2250"/>
        <w:gridCol w:w="2144"/>
        <w:gridCol w:w="694"/>
      </w:tblGrid>
      <w:tr w14:paraId="2E751E67">
        <w:tblPrEx>
          <w:tblCellMar>
            <w:top w:w="0" w:type="dxa"/>
            <w:left w:w="108" w:type="dxa"/>
            <w:bottom w:w="0" w:type="dxa"/>
            <w:right w:w="108" w:type="dxa"/>
          </w:tblCellMar>
        </w:tblPrEx>
        <w:trPr>
          <w:cantSplit/>
          <w:trHeight w:val="518" w:hRule="atLeast"/>
          <w:jc w:val="center"/>
        </w:trPr>
        <w:tc>
          <w:tcPr>
            <w:tcW w:w="709" w:type="dxa"/>
            <w:vMerge w:val="restart"/>
            <w:tcBorders>
              <w:top w:val="single" w:color="auto" w:sz="4" w:space="0"/>
              <w:left w:val="single" w:color="auto" w:sz="4" w:space="0"/>
              <w:bottom w:val="single" w:color="auto" w:sz="6" w:space="0"/>
              <w:right w:val="single" w:color="auto" w:sz="6" w:space="0"/>
            </w:tcBorders>
            <w:vAlign w:val="center"/>
          </w:tcPr>
          <w:p w14:paraId="28C05002">
            <w:pPr>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129" w:type="dxa"/>
            <w:vMerge w:val="restart"/>
            <w:tcBorders>
              <w:top w:val="single" w:color="auto" w:sz="4" w:space="0"/>
              <w:left w:val="single" w:color="auto" w:sz="6" w:space="0"/>
              <w:right w:val="single" w:color="auto" w:sz="4" w:space="0"/>
            </w:tcBorders>
            <w:vAlign w:val="center"/>
          </w:tcPr>
          <w:p w14:paraId="0905E635">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产品名称</w:t>
            </w:r>
          </w:p>
        </w:tc>
        <w:tc>
          <w:tcPr>
            <w:tcW w:w="4518" w:type="dxa"/>
            <w:gridSpan w:val="2"/>
            <w:tcBorders>
              <w:top w:val="single" w:color="auto" w:sz="4" w:space="0"/>
              <w:left w:val="single" w:color="auto" w:sz="4" w:space="0"/>
              <w:bottom w:val="single" w:color="auto" w:sz="6" w:space="0"/>
              <w:right w:val="single" w:color="auto" w:sz="6" w:space="0"/>
            </w:tcBorders>
            <w:vAlign w:val="center"/>
          </w:tcPr>
          <w:p w14:paraId="4A37E398">
            <w:pPr>
              <w:jc w:val="center"/>
              <w:rPr>
                <w:rFonts w:hint="eastAsia" w:ascii="宋体" w:hAnsi="宋体" w:eastAsia="宋体" w:cs="宋体"/>
                <w:kern w:val="0"/>
                <w:sz w:val="21"/>
                <w:szCs w:val="21"/>
              </w:rPr>
            </w:pPr>
            <w:r>
              <w:rPr>
                <w:rFonts w:hint="eastAsia" w:ascii="宋体" w:hAnsi="宋体" w:eastAsia="宋体" w:cs="宋体"/>
                <w:kern w:val="0"/>
                <w:sz w:val="21"/>
                <w:szCs w:val="21"/>
              </w:rPr>
              <w:t>技术参数</w:t>
            </w:r>
          </w:p>
        </w:tc>
        <w:tc>
          <w:tcPr>
            <w:tcW w:w="2144" w:type="dxa"/>
            <w:vMerge w:val="restart"/>
            <w:tcBorders>
              <w:top w:val="single" w:color="auto" w:sz="4" w:space="0"/>
              <w:left w:val="single" w:color="auto" w:sz="6" w:space="0"/>
              <w:bottom w:val="single" w:color="auto" w:sz="6" w:space="0"/>
              <w:right w:val="single" w:color="auto" w:sz="6" w:space="0"/>
            </w:tcBorders>
            <w:vAlign w:val="center"/>
          </w:tcPr>
          <w:p w14:paraId="5A9CC7E2">
            <w:pPr>
              <w:jc w:val="center"/>
              <w:rPr>
                <w:rFonts w:hint="eastAsia" w:ascii="宋体" w:hAnsi="宋体" w:eastAsia="宋体" w:cs="宋体"/>
                <w:kern w:val="0"/>
                <w:sz w:val="21"/>
                <w:szCs w:val="21"/>
              </w:rPr>
            </w:pPr>
            <w:r>
              <w:rPr>
                <w:rFonts w:hint="eastAsia" w:ascii="宋体" w:hAnsi="宋体" w:eastAsia="宋体" w:cs="宋体"/>
                <w:kern w:val="0"/>
                <w:sz w:val="21"/>
                <w:szCs w:val="21"/>
              </w:rPr>
              <w:t>偏离情况及说明</w:t>
            </w:r>
          </w:p>
        </w:tc>
        <w:tc>
          <w:tcPr>
            <w:tcW w:w="694" w:type="dxa"/>
            <w:vMerge w:val="restart"/>
            <w:tcBorders>
              <w:top w:val="single" w:color="auto" w:sz="4" w:space="0"/>
              <w:left w:val="single" w:color="auto" w:sz="6" w:space="0"/>
              <w:bottom w:val="single" w:color="auto" w:sz="6" w:space="0"/>
              <w:right w:val="single" w:color="auto" w:sz="4" w:space="0"/>
            </w:tcBorders>
            <w:vAlign w:val="center"/>
          </w:tcPr>
          <w:p w14:paraId="201C3067">
            <w:pPr>
              <w:jc w:val="center"/>
              <w:rPr>
                <w:rFonts w:hint="eastAsia" w:ascii="宋体" w:hAnsi="宋体" w:eastAsia="宋体" w:cs="宋体"/>
                <w:kern w:val="0"/>
                <w:sz w:val="21"/>
                <w:szCs w:val="21"/>
              </w:rPr>
            </w:pPr>
            <w:r>
              <w:rPr>
                <w:rFonts w:hint="eastAsia" w:ascii="宋体" w:hAnsi="宋体" w:eastAsia="宋体" w:cs="宋体"/>
                <w:kern w:val="0"/>
                <w:sz w:val="21"/>
                <w:szCs w:val="21"/>
              </w:rPr>
              <w:t>备注</w:t>
            </w:r>
          </w:p>
        </w:tc>
      </w:tr>
      <w:tr w14:paraId="31CEA1A5">
        <w:tblPrEx>
          <w:tblCellMar>
            <w:top w:w="0" w:type="dxa"/>
            <w:left w:w="108" w:type="dxa"/>
            <w:bottom w:w="0" w:type="dxa"/>
            <w:right w:w="108" w:type="dxa"/>
          </w:tblCellMar>
        </w:tblPrEx>
        <w:trPr>
          <w:cantSplit/>
          <w:trHeight w:val="761" w:hRule="atLeast"/>
          <w:jc w:val="center"/>
        </w:trPr>
        <w:tc>
          <w:tcPr>
            <w:tcW w:w="709" w:type="dxa"/>
            <w:vMerge w:val="continue"/>
            <w:tcBorders>
              <w:top w:val="single" w:color="auto" w:sz="4" w:space="0"/>
              <w:left w:val="single" w:color="auto" w:sz="4" w:space="0"/>
              <w:bottom w:val="single" w:color="auto" w:sz="6" w:space="0"/>
              <w:right w:val="single" w:color="auto" w:sz="6" w:space="0"/>
            </w:tcBorders>
            <w:vAlign w:val="center"/>
          </w:tcPr>
          <w:p w14:paraId="2D080EB6">
            <w:pPr>
              <w:jc w:val="left"/>
              <w:rPr>
                <w:rFonts w:hint="eastAsia" w:ascii="宋体" w:hAnsi="宋体" w:eastAsia="宋体" w:cs="宋体"/>
                <w:kern w:val="0"/>
                <w:sz w:val="21"/>
                <w:szCs w:val="21"/>
              </w:rPr>
            </w:pPr>
          </w:p>
        </w:tc>
        <w:tc>
          <w:tcPr>
            <w:tcW w:w="1129" w:type="dxa"/>
            <w:vMerge w:val="continue"/>
            <w:tcBorders>
              <w:left w:val="single" w:color="auto" w:sz="6" w:space="0"/>
              <w:bottom w:val="single" w:color="auto" w:sz="6" w:space="0"/>
              <w:right w:val="single" w:color="auto" w:sz="4" w:space="0"/>
            </w:tcBorders>
            <w:vAlign w:val="center"/>
          </w:tcPr>
          <w:p w14:paraId="17DED504">
            <w:pPr>
              <w:jc w:val="center"/>
              <w:rPr>
                <w:rFonts w:hint="eastAsia" w:ascii="宋体" w:hAnsi="宋体" w:eastAsia="宋体" w:cs="宋体"/>
                <w:kern w:val="0"/>
                <w:sz w:val="21"/>
                <w:szCs w:val="21"/>
              </w:rPr>
            </w:pPr>
          </w:p>
        </w:tc>
        <w:tc>
          <w:tcPr>
            <w:tcW w:w="2268" w:type="dxa"/>
            <w:tcBorders>
              <w:top w:val="single" w:color="auto" w:sz="6" w:space="0"/>
              <w:left w:val="single" w:color="auto" w:sz="4" w:space="0"/>
              <w:bottom w:val="single" w:color="auto" w:sz="6" w:space="0"/>
              <w:right w:val="single" w:color="auto" w:sz="6" w:space="0"/>
            </w:tcBorders>
            <w:vAlign w:val="center"/>
          </w:tcPr>
          <w:p w14:paraId="3A393C8D">
            <w:pPr>
              <w:jc w:val="center"/>
              <w:rPr>
                <w:rFonts w:hint="eastAsia" w:ascii="宋体" w:hAnsi="宋体" w:eastAsia="宋体" w:cs="宋体"/>
                <w:kern w:val="0"/>
                <w:sz w:val="21"/>
                <w:szCs w:val="21"/>
              </w:rPr>
            </w:pPr>
            <w:r>
              <w:rPr>
                <w:rFonts w:hint="eastAsia" w:ascii="宋体" w:hAnsi="宋体" w:eastAsia="宋体" w:cs="宋体"/>
                <w:sz w:val="21"/>
                <w:szCs w:val="21"/>
              </w:rPr>
              <w:t>招标文件技术要求</w:t>
            </w:r>
          </w:p>
        </w:tc>
        <w:tc>
          <w:tcPr>
            <w:tcW w:w="2250" w:type="dxa"/>
            <w:tcBorders>
              <w:top w:val="single" w:color="auto" w:sz="6" w:space="0"/>
              <w:left w:val="single" w:color="auto" w:sz="6" w:space="0"/>
              <w:bottom w:val="single" w:color="auto" w:sz="6" w:space="0"/>
              <w:right w:val="single" w:color="auto" w:sz="6" w:space="0"/>
            </w:tcBorders>
            <w:vAlign w:val="center"/>
          </w:tcPr>
          <w:p w14:paraId="440DB66F">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投标文件技术参数</w:t>
            </w:r>
          </w:p>
        </w:tc>
        <w:tc>
          <w:tcPr>
            <w:tcW w:w="2144" w:type="dxa"/>
            <w:vMerge w:val="continue"/>
            <w:tcBorders>
              <w:top w:val="single" w:color="auto" w:sz="4" w:space="0"/>
              <w:left w:val="single" w:color="auto" w:sz="6" w:space="0"/>
              <w:bottom w:val="single" w:color="auto" w:sz="6" w:space="0"/>
              <w:right w:val="single" w:color="auto" w:sz="6" w:space="0"/>
            </w:tcBorders>
            <w:vAlign w:val="center"/>
          </w:tcPr>
          <w:p w14:paraId="69D499F2">
            <w:pPr>
              <w:jc w:val="left"/>
              <w:rPr>
                <w:rFonts w:hint="eastAsia" w:ascii="宋体" w:hAnsi="宋体" w:eastAsia="宋体" w:cs="宋体"/>
                <w:kern w:val="0"/>
                <w:sz w:val="21"/>
                <w:szCs w:val="21"/>
              </w:rPr>
            </w:pPr>
          </w:p>
        </w:tc>
        <w:tc>
          <w:tcPr>
            <w:tcW w:w="694" w:type="dxa"/>
            <w:vMerge w:val="continue"/>
            <w:tcBorders>
              <w:top w:val="single" w:color="auto" w:sz="4" w:space="0"/>
              <w:left w:val="single" w:color="auto" w:sz="6" w:space="0"/>
              <w:bottom w:val="single" w:color="auto" w:sz="6" w:space="0"/>
              <w:right w:val="single" w:color="auto" w:sz="4" w:space="0"/>
            </w:tcBorders>
            <w:vAlign w:val="center"/>
          </w:tcPr>
          <w:p w14:paraId="10F68D8A">
            <w:pPr>
              <w:jc w:val="left"/>
              <w:rPr>
                <w:rFonts w:hint="eastAsia" w:ascii="宋体" w:hAnsi="宋体" w:eastAsia="宋体" w:cs="宋体"/>
                <w:kern w:val="0"/>
                <w:sz w:val="21"/>
                <w:szCs w:val="21"/>
              </w:rPr>
            </w:pPr>
          </w:p>
        </w:tc>
      </w:tr>
      <w:tr w14:paraId="7449EC63">
        <w:tblPrEx>
          <w:tblCellMar>
            <w:top w:w="0" w:type="dxa"/>
            <w:left w:w="108" w:type="dxa"/>
            <w:bottom w:w="0" w:type="dxa"/>
            <w:right w:w="108" w:type="dxa"/>
          </w:tblCellMar>
        </w:tblPrEx>
        <w:trPr>
          <w:trHeight w:val="799" w:hRule="atLeast"/>
          <w:jc w:val="center"/>
        </w:trPr>
        <w:tc>
          <w:tcPr>
            <w:tcW w:w="709" w:type="dxa"/>
            <w:tcBorders>
              <w:top w:val="single" w:color="auto" w:sz="6" w:space="0"/>
              <w:left w:val="single" w:color="auto" w:sz="4" w:space="0"/>
              <w:bottom w:val="single" w:color="auto" w:sz="6" w:space="0"/>
              <w:right w:val="single" w:color="auto" w:sz="6" w:space="0"/>
            </w:tcBorders>
            <w:vAlign w:val="center"/>
          </w:tcPr>
          <w:p w14:paraId="64071744">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129" w:type="dxa"/>
            <w:tcBorders>
              <w:top w:val="single" w:color="auto" w:sz="6" w:space="0"/>
              <w:left w:val="single" w:color="auto" w:sz="6" w:space="0"/>
              <w:bottom w:val="single" w:color="auto" w:sz="6" w:space="0"/>
              <w:right w:val="single" w:color="auto" w:sz="4" w:space="0"/>
            </w:tcBorders>
            <w:vAlign w:val="center"/>
          </w:tcPr>
          <w:p w14:paraId="20663EBE">
            <w:pPr>
              <w:jc w:val="center"/>
              <w:rPr>
                <w:rFonts w:hint="eastAsia" w:ascii="宋体" w:hAnsi="宋体" w:eastAsia="宋体" w:cs="宋体"/>
                <w:kern w:val="0"/>
                <w:sz w:val="21"/>
                <w:szCs w:val="21"/>
              </w:rPr>
            </w:pPr>
          </w:p>
        </w:tc>
        <w:tc>
          <w:tcPr>
            <w:tcW w:w="2268" w:type="dxa"/>
            <w:tcBorders>
              <w:top w:val="single" w:color="auto" w:sz="6" w:space="0"/>
              <w:left w:val="single" w:color="auto" w:sz="4" w:space="0"/>
              <w:bottom w:val="single" w:color="auto" w:sz="6" w:space="0"/>
              <w:right w:val="single" w:color="auto" w:sz="6" w:space="0"/>
            </w:tcBorders>
            <w:vAlign w:val="center"/>
          </w:tcPr>
          <w:p w14:paraId="3C69FED7">
            <w:pPr>
              <w:jc w:val="center"/>
              <w:rPr>
                <w:rFonts w:hint="eastAsia" w:ascii="宋体" w:hAnsi="宋体" w:eastAsia="宋体" w:cs="宋体"/>
                <w:kern w:val="0"/>
                <w:sz w:val="21"/>
                <w:szCs w:val="21"/>
              </w:rPr>
            </w:pPr>
          </w:p>
        </w:tc>
        <w:tc>
          <w:tcPr>
            <w:tcW w:w="2250" w:type="dxa"/>
            <w:tcBorders>
              <w:top w:val="single" w:color="auto" w:sz="6" w:space="0"/>
              <w:left w:val="single" w:color="auto" w:sz="6" w:space="0"/>
              <w:bottom w:val="single" w:color="auto" w:sz="6" w:space="0"/>
              <w:right w:val="single" w:color="auto" w:sz="6" w:space="0"/>
            </w:tcBorders>
            <w:vAlign w:val="center"/>
          </w:tcPr>
          <w:p w14:paraId="0CB4AC22">
            <w:pPr>
              <w:jc w:val="center"/>
              <w:rPr>
                <w:rFonts w:hint="eastAsia" w:ascii="宋体" w:hAnsi="宋体" w:eastAsia="宋体" w:cs="宋体"/>
                <w:kern w:val="0"/>
                <w:sz w:val="21"/>
                <w:szCs w:val="21"/>
              </w:rPr>
            </w:pPr>
          </w:p>
        </w:tc>
        <w:tc>
          <w:tcPr>
            <w:tcW w:w="2144" w:type="dxa"/>
            <w:tcBorders>
              <w:top w:val="single" w:color="auto" w:sz="6" w:space="0"/>
              <w:left w:val="single" w:color="auto" w:sz="6" w:space="0"/>
              <w:bottom w:val="single" w:color="auto" w:sz="6" w:space="0"/>
              <w:right w:val="single" w:color="auto" w:sz="6" w:space="0"/>
            </w:tcBorders>
            <w:vAlign w:val="center"/>
          </w:tcPr>
          <w:p w14:paraId="0BB1C26D">
            <w:pPr>
              <w:jc w:val="center"/>
              <w:rPr>
                <w:rFonts w:hint="eastAsia" w:ascii="宋体" w:hAnsi="宋体" w:eastAsia="宋体" w:cs="宋体"/>
                <w:kern w:val="0"/>
                <w:sz w:val="21"/>
                <w:szCs w:val="21"/>
              </w:rPr>
            </w:pPr>
          </w:p>
        </w:tc>
        <w:tc>
          <w:tcPr>
            <w:tcW w:w="694" w:type="dxa"/>
            <w:tcBorders>
              <w:top w:val="single" w:color="auto" w:sz="6" w:space="0"/>
              <w:left w:val="single" w:color="auto" w:sz="6" w:space="0"/>
              <w:bottom w:val="single" w:color="auto" w:sz="6" w:space="0"/>
              <w:right w:val="single" w:color="auto" w:sz="4" w:space="0"/>
            </w:tcBorders>
            <w:vAlign w:val="center"/>
          </w:tcPr>
          <w:p w14:paraId="6B0CE378">
            <w:pPr>
              <w:jc w:val="center"/>
              <w:rPr>
                <w:rFonts w:hint="eastAsia" w:ascii="宋体" w:hAnsi="宋体" w:eastAsia="宋体" w:cs="宋体"/>
                <w:kern w:val="0"/>
                <w:sz w:val="21"/>
                <w:szCs w:val="21"/>
              </w:rPr>
            </w:pPr>
          </w:p>
        </w:tc>
      </w:tr>
      <w:tr w14:paraId="75FD573D">
        <w:tblPrEx>
          <w:tblCellMar>
            <w:top w:w="0" w:type="dxa"/>
            <w:left w:w="108" w:type="dxa"/>
            <w:bottom w:w="0" w:type="dxa"/>
            <w:right w:w="108" w:type="dxa"/>
          </w:tblCellMar>
        </w:tblPrEx>
        <w:trPr>
          <w:trHeight w:val="781" w:hRule="atLeast"/>
          <w:jc w:val="center"/>
        </w:trPr>
        <w:tc>
          <w:tcPr>
            <w:tcW w:w="709" w:type="dxa"/>
            <w:tcBorders>
              <w:top w:val="single" w:color="auto" w:sz="6" w:space="0"/>
              <w:left w:val="single" w:color="auto" w:sz="4" w:space="0"/>
              <w:bottom w:val="single" w:color="auto" w:sz="6" w:space="0"/>
              <w:right w:val="single" w:color="auto" w:sz="6" w:space="0"/>
            </w:tcBorders>
            <w:vAlign w:val="center"/>
          </w:tcPr>
          <w:p w14:paraId="118F269E">
            <w:pPr>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129" w:type="dxa"/>
            <w:tcBorders>
              <w:top w:val="single" w:color="auto" w:sz="6" w:space="0"/>
              <w:left w:val="single" w:color="auto" w:sz="6" w:space="0"/>
              <w:bottom w:val="single" w:color="auto" w:sz="6" w:space="0"/>
              <w:right w:val="single" w:color="auto" w:sz="4" w:space="0"/>
            </w:tcBorders>
            <w:vAlign w:val="center"/>
          </w:tcPr>
          <w:p w14:paraId="03D0E8DD">
            <w:pPr>
              <w:jc w:val="center"/>
              <w:rPr>
                <w:rFonts w:hint="eastAsia" w:ascii="宋体" w:hAnsi="宋体" w:eastAsia="宋体" w:cs="宋体"/>
                <w:kern w:val="0"/>
                <w:sz w:val="21"/>
                <w:szCs w:val="21"/>
              </w:rPr>
            </w:pPr>
          </w:p>
        </w:tc>
        <w:tc>
          <w:tcPr>
            <w:tcW w:w="2268" w:type="dxa"/>
            <w:tcBorders>
              <w:top w:val="single" w:color="auto" w:sz="6" w:space="0"/>
              <w:left w:val="single" w:color="auto" w:sz="4" w:space="0"/>
              <w:bottom w:val="single" w:color="auto" w:sz="6" w:space="0"/>
              <w:right w:val="single" w:color="auto" w:sz="6" w:space="0"/>
            </w:tcBorders>
            <w:vAlign w:val="center"/>
          </w:tcPr>
          <w:p w14:paraId="4D965578">
            <w:pPr>
              <w:jc w:val="center"/>
              <w:rPr>
                <w:rFonts w:hint="eastAsia" w:ascii="宋体" w:hAnsi="宋体" w:eastAsia="宋体" w:cs="宋体"/>
                <w:kern w:val="0"/>
                <w:sz w:val="21"/>
                <w:szCs w:val="21"/>
              </w:rPr>
            </w:pPr>
          </w:p>
        </w:tc>
        <w:tc>
          <w:tcPr>
            <w:tcW w:w="2250" w:type="dxa"/>
            <w:tcBorders>
              <w:top w:val="single" w:color="auto" w:sz="6" w:space="0"/>
              <w:left w:val="single" w:color="auto" w:sz="6" w:space="0"/>
              <w:bottom w:val="single" w:color="auto" w:sz="6" w:space="0"/>
              <w:right w:val="single" w:color="auto" w:sz="6" w:space="0"/>
            </w:tcBorders>
            <w:vAlign w:val="center"/>
          </w:tcPr>
          <w:p w14:paraId="28D8F553">
            <w:pPr>
              <w:jc w:val="center"/>
              <w:rPr>
                <w:rFonts w:hint="eastAsia" w:ascii="宋体" w:hAnsi="宋体" w:eastAsia="宋体" w:cs="宋体"/>
                <w:kern w:val="0"/>
                <w:sz w:val="21"/>
                <w:szCs w:val="21"/>
              </w:rPr>
            </w:pPr>
          </w:p>
        </w:tc>
        <w:tc>
          <w:tcPr>
            <w:tcW w:w="2144" w:type="dxa"/>
            <w:tcBorders>
              <w:top w:val="single" w:color="auto" w:sz="6" w:space="0"/>
              <w:left w:val="single" w:color="auto" w:sz="6" w:space="0"/>
              <w:bottom w:val="single" w:color="auto" w:sz="6" w:space="0"/>
              <w:right w:val="single" w:color="auto" w:sz="6" w:space="0"/>
            </w:tcBorders>
            <w:vAlign w:val="center"/>
          </w:tcPr>
          <w:p w14:paraId="32E0479C">
            <w:pPr>
              <w:jc w:val="center"/>
              <w:rPr>
                <w:rFonts w:hint="eastAsia" w:ascii="宋体" w:hAnsi="宋体" w:eastAsia="宋体" w:cs="宋体"/>
                <w:kern w:val="0"/>
                <w:sz w:val="21"/>
                <w:szCs w:val="21"/>
              </w:rPr>
            </w:pPr>
          </w:p>
        </w:tc>
        <w:tc>
          <w:tcPr>
            <w:tcW w:w="694" w:type="dxa"/>
            <w:tcBorders>
              <w:top w:val="single" w:color="auto" w:sz="6" w:space="0"/>
              <w:left w:val="single" w:color="auto" w:sz="6" w:space="0"/>
              <w:bottom w:val="single" w:color="auto" w:sz="6" w:space="0"/>
              <w:right w:val="single" w:color="auto" w:sz="4" w:space="0"/>
            </w:tcBorders>
            <w:vAlign w:val="center"/>
          </w:tcPr>
          <w:p w14:paraId="0CA1520E">
            <w:pPr>
              <w:jc w:val="center"/>
              <w:rPr>
                <w:rFonts w:hint="eastAsia" w:ascii="宋体" w:hAnsi="宋体" w:eastAsia="宋体" w:cs="宋体"/>
                <w:kern w:val="0"/>
                <w:sz w:val="21"/>
                <w:szCs w:val="21"/>
              </w:rPr>
            </w:pPr>
          </w:p>
        </w:tc>
      </w:tr>
      <w:tr w14:paraId="21B2DFDC">
        <w:tblPrEx>
          <w:tblCellMar>
            <w:top w:w="0" w:type="dxa"/>
            <w:left w:w="108" w:type="dxa"/>
            <w:bottom w:w="0" w:type="dxa"/>
            <w:right w:w="108" w:type="dxa"/>
          </w:tblCellMar>
        </w:tblPrEx>
        <w:trPr>
          <w:trHeight w:val="791" w:hRule="atLeast"/>
          <w:jc w:val="center"/>
        </w:trPr>
        <w:tc>
          <w:tcPr>
            <w:tcW w:w="709" w:type="dxa"/>
            <w:tcBorders>
              <w:top w:val="single" w:color="auto" w:sz="6" w:space="0"/>
              <w:left w:val="single" w:color="auto" w:sz="4" w:space="0"/>
              <w:bottom w:val="single" w:color="auto" w:sz="6" w:space="0"/>
              <w:right w:val="single" w:color="auto" w:sz="6" w:space="0"/>
            </w:tcBorders>
            <w:vAlign w:val="center"/>
          </w:tcPr>
          <w:p w14:paraId="7C48ED8D">
            <w:pPr>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29" w:type="dxa"/>
            <w:tcBorders>
              <w:top w:val="single" w:color="auto" w:sz="6" w:space="0"/>
              <w:left w:val="single" w:color="auto" w:sz="6" w:space="0"/>
              <w:bottom w:val="single" w:color="auto" w:sz="6" w:space="0"/>
              <w:right w:val="single" w:color="auto" w:sz="4" w:space="0"/>
            </w:tcBorders>
            <w:vAlign w:val="center"/>
          </w:tcPr>
          <w:p w14:paraId="67753B17">
            <w:pPr>
              <w:jc w:val="center"/>
              <w:rPr>
                <w:rFonts w:hint="eastAsia" w:ascii="宋体" w:hAnsi="宋体" w:eastAsia="宋体" w:cs="宋体"/>
                <w:kern w:val="0"/>
                <w:sz w:val="21"/>
                <w:szCs w:val="21"/>
              </w:rPr>
            </w:pPr>
          </w:p>
        </w:tc>
        <w:tc>
          <w:tcPr>
            <w:tcW w:w="2268" w:type="dxa"/>
            <w:tcBorders>
              <w:top w:val="single" w:color="auto" w:sz="6" w:space="0"/>
              <w:left w:val="single" w:color="auto" w:sz="4" w:space="0"/>
              <w:bottom w:val="single" w:color="auto" w:sz="6" w:space="0"/>
              <w:right w:val="single" w:color="auto" w:sz="6" w:space="0"/>
            </w:tcBorders>
            <w:vAlign w:val="center"/>
          </w:tcPr>
          <w:p w14:paraId="6DDE2ECB">
            <w:pPr>
              <w:jc w:val="center"/>
              <w:rPr>
                <w:rFonts w:hint="eastAsia" w:ascii="宋体" w:hAnsi="宋体" w:eastAsia="宋体" w:cs="宋体"/>
                <w:kern w:val="0"/>
                <w:sz w:val="21"/>
                <w:szCs w:val="21"/>
              </w:rPr>
            </w:pPr>
          </w:p>
        </w:tc>
        <w:tc>
          <w:tcPr>
            <w:tcW w:w="2250" w:type="dxa"/>
            <w:tcBorders>
              <w:top w:val="single" w:color="auto" w:sz="6" w:space="0"/>
              <w:left w:val="single" w:color="auto" w:sz="6" w:space="0"/>
              <w:bottom w:val="single" w:color="auto" w:sz="6" w:space="0"/>
              <w:right w:val="single" w:color="auto" w:sz="6" w:space="0"/>
            </w:tcBorders>
            <w:vAlign w:val="center"/>
          </w:tcPr>
          <w:p w14:paraId="01C5675B">
            <w:pPr>
              <w:jc w:val="center"/>
              <w:rPr>
                <w:rFonts w:hint="eastAsia" w:ascii="宋体" w:hAnsi="宋体" w:eastAsia="宋体" w:cs="宋体"/>
                <w:kern w:val="0"/>
                <w:sz w:val="21"/>
                <w:szCs w:val="21"/>
              </w:rPr>
            </w:pPr>
          </w:p>
        </w:tc>
        <w:tc>
          <w:tcPr>
            <w:tcW w:w="2144" w:type="dxa"/>
            <w:tcBorders>
              <w:top w:val="single" w:color="auto" w:sz="6" w:space="0"/>
              <w:left w:val="single" w:color="auto" w:sz="6" w:space="0"/>
              <w:bottom w:val="single" w:color="auto" w:sz="6" w:space="0"/>
              <w:right w:val="single" w:color="auto" w:sz="6" w:space="0"/>
            </w:tcBorders>
            <w:vAlign w:val="center"/>
          </w:tcPr>
          <w:p w14:paraId="35B9BD3D">
            <w:pPr>
              <w:jc w:val="center"/>
              <w:rPr>
                <w:rFonts w:hint="eastAsia" w:ascii="宋体" w:hAnsi="宋体" w:eastAsia="宋体" w:cs="宋体"/>
                <w:kern w:val="0"/>
                <w:sz w:val="21"/>
                <w:szCs w:val="21"/>
              </w:rPr>
            </w:pPr>
          </w:p>
        </w:tc>
        <w:tc>
          <w:tcPr>
            <w:tcW w:w="694" w:type="dxa"/>
            <w:tcBorders>
              <w:top w:val="single" w:color="auto" w:sz="6" w:space="0"/>
              <w:left w:val="single" w:color="auto" w:sz="6" w:space="0"/>
              <w:bottom w:val="single" w:color="auto" w:sz="6" w:space="0"/>
              <w:right w:val="single" w:color="auto" w:sz="4" w:space="0"/>
            </w:tcBorders>
            <w:vAlign w:val="center"/>
          </w:tcPr>
          <w:p w14:paraId="3F017612">
            <w:pPr>
              <w:jc w:val="center"/>
              <w:rPr>
                <w:rFonts w:hint="eastAsia" w:ascii="宋体" w:hAnsi="宋体" w:eastAsia="宋体" w:cs="宋体"/>
                <w:kern w:val="0"/>
                <w:sz w:val="21"/>
                <w:szCs w:val="21"/>
              </w:rPr>
            </w:pPr>
          </w:p>
        </w:tc>
      </w:tr>
      <w:tr w14:paraId="065A8803">
        <w:tblPrEx>
          <w:tblCellMar>
            <w:top w:w="0" w:type="dxa"/>
            <w:left w:w="108" w:type="dxa"/>
            <w:bottom w:w="0" w:type="dxa"/>
            <w:right w:w="108" w:type="dxa"/>
          </w:tblCellMar>
        </w:tblPrEx>
        <w:trPr>
          <w:trHeight w:val="784" w:hRule="atLeast"/>
          <w:jc w:val="center"/>
        </w:trPr>
        <w:tc>
          <w:tcPr>
            <w:tcW w:w="709" w:type="dxa"/>
            <w:tcBorders>
              <w:top w:val="single" w:color="auto" w:sz="4" w:space="0"/>
              <w:left w:val="single" w:color="auto" w:sz="4" w:space="0"/>
              <w:bottom w:val="single" w:color="auto" w:sz="4" w:space="0"/>
              <w:right w:val="single" w:color="auto" w:sz="6" w:space="0"/>
            </w:tcBorders>
            <w:vAlign w:val="center"/>
          </w:tcPr>
          <w:p w14:paraId="2C976A7B">
            <w:pPr>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9" w:type="dxa"/>
            <w:tcBorders>
              <w:top w:val="single" w:color="auto" w:sz="4" w:space="0"/>
              <w:left w:val="single" w:color="auto" w:sz="6" w:space="0"/>
              <w:bottom w:val="single" w:color="auto" w:sz="4" w:space="0"/>
              <w:right w:val="single" w:color="auto" w:sz="4" w:space="0"/>
            </w:tcBorders>
            <w:vAlign w:val="center"/>
          </w:tcPr>
          <w:p w14:paraId="03BFFE63">
            <w:pPr>
              <w:jc w:val="center"/>
              <w:rPr>
                <w:rFonts w:hint="eastAsia" w:ascii="宋体" w:hAnsi="宋体" w:eastAsia="宋体" w:cs="宋体"/>
                <w:kern w:val="0"/>
                <w:sz w:val="21"/>
                <w:szCs w:val="21"/>
              </w:rPr>
            </w:pPr>
          </w:p>
        </w:tc>
        <w:tc>
          <w:tcPr>
            <w:tcW w:w="2268" w:type="dxa"/>
            <w:tcBorders>
              <w:top w:val="single" w:color="auto" w:sz="4" w:space="0"/>
              <w:left w:val="single" w:color="auto" w:sz="4" w:space="0"/>
              <w:bottom w:val="single" w:color="auto" w:sz="4" w:space="0"/>
              <w:right w:val="single" w:color="auto" w:sz="6" w:space="0"/>
            </w:tcBorders>
            <w:vAlign w:val="center"/>
          </w:tcPr>
          <w:p w14:paraId="695E9E6F">
            <w:pPr>
              <w:jc w:val="center"/>
              <w:rPr>
                <w:rFonts w:hint="eastAsia" w:ascii="宋体" w:hAnsi="宋体" w:eastAsia="宋体" w:cs="宋体"/>
                <w:kern w:val="0"/>
                <w:sz w:val="21"/>
                <w:szCs w:val="21"/>
              </w:rPr>
            </w:pPr>
          </w:p>
        </w:tc>
        <w:tc>
          <w:tcPr>
            <w:tcW w:w="2250" w:type="dxa"/>
            <w:tcBorders>
              <w:top w:val="single" w:color="auto" w:sz="4" w:space="0"/>
              <w:left w:val="single" w:color="auto" w:sz="6" w:space="0"/>
              <w:bottom w:val="single" w:color="auto" w:sz="4" w:space="0"/>
              <w:right w:val="single" w:color="auto" w:sz="6" w:space="0"/>
            </w:tcBorders>
            <w:vAlign w:val="center"/>
          </w:tcPr>
          <w:p w14:paraId="69E5F673">
            <w:pPr>
              <w:jc w:val="center"/>
              <w:rPr>
                <w:rFonts w:hint="eastAsia" w:ascii="宋体" w:hAnsi="宋体" w:eastAsia="宋体" w:cs="宋体"/>
                <w:kern w:val="0"/>
                <w:sz w:val="21"/>
                <w:szCs w:val="21"/>
              </w:rPr>
            </w:pPr>
          </w:p>
        </w:tc>
        <w:tc>
          <w:tcPr>
            <w:tcW w:w="2144" w:type="dxa"/>
            <w:tcBorders>
              <w:top w:val="single" w:color="auto" w:sz="4" w:space="0"/>
              <w:left w:val="single" w:color="auto" w:sz="6" w:space="0"/>
              <w:bottom w:val="single" w:color="auto" w:sz="4" w:space="0"/>
              <w:right w:val="single" w:color="auto" w:sz="6" w:space="0"/>
            </w:tcBorders>
            <w:vAlign w:val="center"/>
          </w:tcPr>
          <w:p w14:paraId="7298C413">
            <w:pPr>
              <w:jc w:val="center"/>
              <w:rPr>
                <w:rFonts w:hint="eastAsia" w:ascii="宋体" w:hAnsi="宋体" w:eastAsia="宋体" w:cs="宋体"/>
                <w:kern w:val="0"/>
                <w:sz w:val="21"/>
                <w:szCs w:val="21"/>
              </w:rPr>
            </w:pPr>
          </w:p>
        </w:tc>
        <w:tc>
          <w:tcPr>
            <w:tcW w:w="694" w:type="dxa"/>
            <w:tcBorders>
              <w:top w:val="single" w:color="auto" w:sz="4" w:space="0"/>
              <w:left w:val="single" w:color="auto" w:sz="6" w:space="0"/>
              <w:bottom w:val="single" w:color="auto" w:sz="4" w:space="0"/>
              <w:right w:val="single" w:color="auto" w:sz="4" w:space="0"/>
            </w:tcBorders>
            <w:vAlign w:val="center"/>
          </w:tcPr>
          <w:p w14:paraId="20ADEF26">
            <w:pPr>
              <w:jc w:val="center"/>
              <w:rPr>
                <w:rFonts w:hint="eastAsia" w:ascii="宋体" w:hAnsi="宋体" w:eastAsia="宋体" w:cs="宋体"/>
                <w:kern w:val="0"/>
                <w:sz w:val="21"/>
                <w:szCs w:val="21"/>
              </w:rPr>
            </w:pPr>
          </w:p>
        </w:tc>
      </w:tr>
    </w:tbl>
    <w:p w14:paraId="292746CA">
      <w:pPr>
        <w:spacing w:line="360" w:lineRule="auto"/>
        <w:ind w:firstLine="210" w:firstLineChars="100"/>
        <w:jc w:val="left"/>
        <w:rPr>
          <w:rFonts w:hint="eastAsia" w:ascii="宋体" w:hAnsi="宋体" w:eastAsia="宋体" w:cs="宋体"/>
          <w:kern w:val="0"/>
          <w:sz w:val="21"/>
          <w:szCs w:val="21"/>
        </w:rPr>
      </w:pPr>
      <w:r>
        <w:rPr>
          <w:rFonts w:hint="eastAsia" w:ascii="宋体" w:hAnsi="宋体" w:eastAsia="宋体" w:cs="宋体"/>
          <w:kern w:val="0"/>
          <w:sz w:val="21"/>
          <w:szCs w:val="21"/>
        </w:rPr>
        <w:t>（表格不够可续页）</w:t>
      </w:r>
    </w:p>
    <w:p w14:paraId="3E49A5A2">
      <w:pPr>
        <w:spacing w:line="360" w:lineRule="auto"/>
        <w:jc w:val="right"/>
        <w:rPr>
          <w:rFonts w:hint="eastAsia" w:ascii="宋体" w:hAnsi="宋体" w:eastAsia="宋体" w:cs="宋体"/>
          <w:sz w:val="21"/>
          <w:szCs w:val="21"/>
        </w:rPr>
      </w:pPr>
    </w:p>
    <w:p w14:paraId="49A02FE1">
      <w:pPr>
        <w:spacing w:line="360" w:lineRule="auto"/>
        <w:jc w:val="right"/>
        <w:rPr>
          <w:rFonts w:hint="eastAsia" w:ascii="宋体" w:hAnsi="宋体" w:eastAsia="宋体" w:cs="宋体"/>
          <w:sz w:val="21"/>
          <w:szCs w:val="21"/>
        </w:rPr>
      </w:pPr>
    </w:p>
    <w:p w14:paraId="0E39599A">
      <w:pPr>
        <w:spacing w:line="360" w:lineRule="auto"/>
        <w:jc w:val="right"/>
        <w:rPr>
          <w:rFonts w:hint="eastAsia" w:ascii="宋体" w:hAnsi="宋体" w:eastAsia="宋体" w:cs="宋体"/>
          <w:sz w:val="21"/>
          <w:szCs w:val="21"/>
        </w:rPr>
      </w:pPr>
    </w:p>
    <w:p w14:paraId="25513458">
      <w:pPr>
        <w:spacing w:line="360" w:lineRule="auto"/>
        <w:jc w:val="right"/>
        <w:rPr>
          <w:rFonts w:hint="eastAsia" w:ascii="宋体" w:hAnsi="宋体" w:eastAsia="宋体" w:cs="宋体"/>
          <w:sz w:val="21"/>
          <w:szCs w:val="21"/>
        </w:rPr>
      </w:pPr>
    </w:p>
    <w:p w14:paraId="5E0CA533">
      <w:pPr>
        <w:spacing w:line="360" w:lineRule="auto"/>
        <w:jc w:val="right"/>
        <w:rPr>
          <w:rFonts w:hint="eastAsia" w:ascii="宋体" w:hAnsi="宋体" w:eastAsia="宋体" w:cs="宋体"/>
          <w:sz w:val="21"/>
          <w:szCs w:val="21"/>
          <w:u w:val="single"/>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w:t>
      </w:r>
      <w:r>
        <w:rPr>
          <w:rFonts w:hint="eastAsia" w:ascii="宋体" w:hAnsi="宋体" w:eastAsia="宋体" w:cs="宋体"/>
          <w:sz w:val="21"/>
          <w:szCs w:val="21"/>
        </w:rPr>
        <w:t>（电子签章）</w:t>
      </w:r>
    </w:p>
    <w:p w14:paraId="2AD67F2A">
      <w:pPr>
        <w:spacing w:line="360" w:lineRule="auto"/>
        <w:jc w:val="right"/>
        <w:rPr>
          <w:rFonts w:hint="eastAsia" w:ascii="宋体" w:hAnsi="宋体" w:eastAsia="宋体" w:cs="宋体"/>
          <w:sz w:val="21"/>
          <w:szCs w:val="21"/>
        </w:rPr>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（电子签章）</w:t>
      </w:r>
    </w:p>
    <w:p w14:paraId="62F833EB">
      <w:pPr>
        <w:spacing w:line="360" w:lineRule="auto"/>
        <w:jc w:val="right"/>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AEDAF07">
      <w:pPr>
        <w:widowControl/>
        <w:spacing w:line="360" w:lineRule="auto"/>
        <w:ind w:firstLine="420" w:firstLineChars="200"/>
        <w:rPr>
          <w:rFonts w:hint="eastAsia" w:ascii="宋体" w:hAnsi="宋体" w:eastAsia="宋体" w:cs="宋体"/>
          <w:sz w:val="21"/>
          <w:szCs w:val="21"/>
        </w:rPr>
      </w:pPr>
    </w:p>
    <w:p w14:paraId="51CCCC75">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注：1、投标人必须根据所投产品的实际情况如实填写，评委会如发现有虚假描述的，将不予推荐中标候选人。</w:t>
      </w:r>
    </w:p>
    <w:p w14:paraId="6CF577D1">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2、投标文件内容高于招标文件内容偏离情况为“正偏离”，投标文件内容低于招标文件内容偏离情况为“负偏离”，与招标文件内容一致为“无偏离”；“正偏离”和“负偏离”需对偏离情况进行说明。</w:t>
      </w:r>
    </w:p>
    <w:p w14:paraId="3FE9DC29">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3、如为“正偏离”需提供厂家相关证明材料，且材料齐全。</w:t>
      </w:r>
    </w:p>
    <w:p w14:paraId="0F6AE088">
      <w:pPr>
        <w:spacing w:line="360" w:lineRule="auto"/>
        <w:jc w:val="center"/>
        <w:outlineLvl w:val="1"/>
        <w:rPr>
          <w:rFonts w:hint="eastAsia" w:ascii="宋体" w:hAnsi="宋体" w:eastAsia="宋体" w:cs="宋体"/>
          <w:sz w:val="21"/>
          <w:szCs w:val="21"/>
        </w:rPr>
        <w:sectPr>
          <w:pgSz w:w="11906" w:h="16838"/>
          <w:pgMar w:top="1134" w:right="1134" w:bottom="1418" w:left="1418" w:header="851" w:footer="992" w:gutter="0"/>
          <w:cols w:space="425" w:num="1"/>
          <w:docGrid w:type="lines" w:linePitch="312" w:charSpace="0"/>
        </w:sectPr>
      </w:pPr>
    </w:p>
    <w:p w14:paraId="3E6E7C09">
      <w:pPr>
        <w:keepNext/>
        <w:keepLines/>
        <w:spacing w:line="360" w:lineRule="auto"/>
        <w:jc w:val="center"/>
        <w:outlineLvl w:val="1"/>
        <w:rPr>
          <w:rFonts w:hint="eastAsia" w:ascii="宋体" w:hAnsi="宋体" w:eastAsia="宋体" w:cs="宋体"/>
          <w:b/>
          <w:bCs/>
          <w:sz w:val="21"/>
          <w:szCs w:val="21"/>
        </w:rPr>
      </w:pPr>
      <w:r>
        <w:rPr>
          <w:rFonts w:hint="eastAsia" w:ascii="宋体" w:hAnsi="宋体" w:eastAsia="宋体" w:cs="宋体"/>
          <w:b/>
          <w:bCs/>
          <w:sz w:val="21"/>
          <w:szCs w:val="21"/>
        </w:rPr>
        <w:t>六、资格审查资料</w:t>
      </w:r>
    </w:p>
    <w:p w14:paraId="06ACB3D6">
      <w:pPr>
        <w:jc w:val="center"/>
        <w:rPr>
          <w:rFonts w:hint="eastAsia" w:ascii="宋体" w:hAnsi="宋体" w:eastAsia="宋体" w:cs="宋体"/>
          <w:sz w:val="21"/>
          <w:szCs w:val="21"/>
        </w:rPr>
      </w:pPr>
      <w:r>
        <w:rPr>
          <w:rFonts w:hint="eastAsia" w:ascii="宋体" w:hAnsi="宋体" w:eastAsia="宋体" w:cs="宋体"/>
          <w:sz w:val="21"/>
          <w:szCs w:val="21"/>
        </w:rPr>
        <w:t>（格式自拟）</w:t>
      </w:r>
    </w:p>
    <w:p w14:paraId="00DF7D40">
      <w:pPr>
        <w:pStyle w:val="19"/>
        <w:ind w:firstLine="210"/>
        <w:rPr>
          <w:rFonts w:hint="eastAsia" w:ascii="宋体" w:hAnsi="宋体" w:eastAsia="宋体" w:cs="宋体"/>
          <w:sz w:val="21"/>
          <w:szCs w:val="21"/>
        </w:rPr>
        <w:sectPr>
          <w:pgSz w:w="11906" w:h="16838"/>
          <w:pgMar w:top="1134" w:right="1134" w:bottom="1418" w:left="1418" w:header="851" w:footer="992" w:gutter="0"/>
          <w:cols w:space="425" w:num="1"/>
          <w:docGrid w:type="lines" w:linePitch="312" w:charSpace="0"/>
        </w:sectPr>
      </w:pPr>
    </w:p>
    <w:p w14:paraId="0BC21159">
      <w:pPr>
        <w:keepNext/>
        <w:keepLines/>
        <w:spacing w:line="360" w:lineRule="auto"/>
        <w:jc w:val="center"/>
        <w:outlineLvl w:val="1"/>
        <w:rPr>
          <w:rFonts w:hint="eastAsia" w:ascii="宋体" w:hAnsi="宋体" w:eastAsia="宋体" w:cs="宋体"/>
          <w:b/>
          <w:bCs/>
          <w:sz w:val="21"/>
          <w:szCs w:val="21"/>
        </w:rPr>
      </w:pPr>
      <w:bookmarkStart w:id="285" w:name="_Hlk122705999"/>
      <w:r>
        <w:rPr>
          <w:rFonts w:hint="eastAsia" w:ascii="宋体" w:hAnsi="宋体" w:eastAsia="宋体" w:cs="宋体"/>
          <w:b/>
          <w:bCs/>
          <w:sz w:val="21"/>
          <w:szCs w:val="21"/>
        </w:rPr>
        <w:t>七、技术部分</w:t>
      </w:r>
    </w:p>
    <w:p w14:paraId="0ABB1F6B">
      <w:pPr>
        <w:jc w:val="center"/>
        <w:rPr>
          <w:rFonts w:hint="eastAsia" w:ascii="宋体" w:hAnsi="宋体" w:eastAsia="宋体" w:cs="宋体"/>
          <w:sz w:val="21"/>
          <w:szCs w:val="21"/>
        </w:rPr>
      </w:pPr>
      <w:r>
        <w:rPr>
          <w:rFonts w:hint="eastAsia" w:ascii="宋体" w:hAnsi="宋体" w:eastAsia="宋体" w:cs="宋体"/>
          <w:sz w:val="21"/>
          <w:szCs w:val="21"/>
        </w:rPr>
        <w:t>（根据评标办法中技术标要求进行编写）</w:t>
      </w:r>
    </w:p>
    <w:p w14:paraId="30765A86">
      <w:pPr>
        <w:rPr>
          <w:rFonts w:hint="eastAsia" w:ascii="宋体" w:hAnsi="宋体" w:eastAsia="宋体" w:cs="宋体"/>
          <w:sz w:val="21"/>
          <w:szCs w:val="21"/>
        </w:rPr>
        <w:sectPr>
          <w:pgSz w:w="11906" w:h="16838"/>
          <w:pgMar w:top="1134" w:right="1134" w:bottom="1418" w:left="1418" w:header="851" w:footer="992" w:gutter="0"/>
          <w:cols w:space="425" w:num="1"/>
          <w:docGrid w:type="lines" w:linePitch="312" w:charSpace="0"/>
        </w:sectPr>
      </w:pPr>
    </w:p>
    <w:bookmarkEnd w:id="285"/>
    <w:p w14:paraId="5AD806EE">
      <w:pPr>
        <w:pStyle w:val="4"/>
        <w:jc w:val="center"/>
        <w:rPr>
          <w:rFonts w:hint="eastAsia" w:ascii="宋体" w:hAnsi="宋体" w:eastAsia="宋体" w:cs="宋体"/>
          <w:sz w:val="21"/>
          <w:szCs w:val="21"/>
        </w:rPr>
      </w:pPr>
      <w:bookmarkStart w:id="286" w:name="_Toc21462227"/>
      <w:bookmarkStart w:id="287" w:name="_Hlk122706088"/>
      <w:r>
        <w:rPr>
          <w:rFonts w:hint="eastAsia" w:ascii="宋体" w:hAnsi="宋体" w:eastAsia="宋体" w:cs="宋体"/>
          <w:sz w:val="21"/>
          <w:szCs w:val="21"/>
        </w:rPr>
        <w:t>八、其他资料</w:t>
      </w:r>
      <w:bookmarkEnd w:id="286"/>
    </w:p>
    <w:p w14:paraId="53B9E877">
      <w:pPr>
        <w:pStyle w:val="19"/>
        <w:ind w:firstLine="0" w:firstLineChars="0"/>
        <w:jc w:val="center"/>
        <w:rPr>
          <w:rFonts w:hint="eastAsia" w:ascii="宋体" w:hAnsi="宋体" w:eastAsia="宋体" w:cs="宋体"/>
          <w:sz w:val="21"/>
          <w:szCs w:val="21"/>
        </w:rPr>
      </w:pPr>
      <w:r>
        <w:rPr>
          <w:rFonts w:hint="eastAsia" w:ascii="宋体" w:hAnsi="宋体" w:eastAsia="宋体" w:cs="宋体"/>
          <w:sz w:val="21"/>
          <w:szCs w:val="21"/>
        </w:rPr>
        <w:t>招标文件要求或投标人认为需要提供的其他资料</w:t>
      </w:r>
    </w:p>
    <w:p w14:paraId="508058E7">
      <w:pPr>
        <w:pStyle w:val="19"/>
        <w:ind w:firstLine="0" w:firstLineChars="0"/>
        <w:rPr>
          <w:rFonts w:hint="eastAsia" w:ascii="宋体" w:hAnsi="宋体" w:eastAsia="宋体" w:cs="宋体"/>
          <w:sz w:val="21"/>
          <w:szCs w:val="21"/>
        </w:rPr>
      </w:pPr>
    </w:p>
    <w:p w14:paraId="730DDB53">
      <w:pPr>
        <w:pStyle w:val="19"/>
        <w:ind w:firstLine="0" w:firstLineChars="0"/>
        <w:rPr>
          <w:rFonts w:hint="eastAsia" w:ascii="宋体" w:hAnsi="宋体" w:eastAsia="宋体" w:cs="宋体"/>
          <w:sz w:val="21"/>
          <w:szCs w:val="21"/>
        </w:rPr>
      </w:pPr>
    </w:p>
    <w:p w14:paraId="177A07EB">
      <w:pPr>
        <w:pStyle w:val="19"/>
        <w:ind w:firstLine="0" w:firstLineChars="0"/>
        <w:rPr>
          <w:rFonts w:hint="eastAsia" w:ascii="宋体" w:hAnsi="宋体" w:eastAsia="宋体" w:cs="宋体"/>
          <w:sz w:val="21"/>
          <w:szCs w:val="21"/>
        </w:rPr>
        <w:sectPr>
          <w:pgSz w:w="11906" w:h="16838"/>
          <w:pgMar w:top="1134" w:right="1134" w:bottom="1418" w:left="1418" w:header="851" w:footer="992" w:gutter="0"/>
          <w:cols w:space="425" w:num="1"/>
          <w:docGrid w:type="lines" w:linePitch="312" w:charSpace="0"/>
        </w:sectPr>
      </w:pPr>
    </w:p>
    <w:p w14:paraId="4471D219">
      <w:pPr>
        <w:outlineLvl w:val="2"/>
        <w:rPr>
          <w:rFonts w:hint="eastAsia" w:ascii="宋体" w:hAnsi="宋体" w:eastAsia="宋体" w:cs="宋体"/>
          <w:b/>
          <w:bCs/>
          <w:spacing w:val="12"/>
          <w:kern w:val="0"/>
          <w:sz w:val="21"/>
          <w:szCs w:val="21"/>
        </w:rPr>
      </w:pPr>
      <w:r>
        <w:rPr>
          <w:rFonts w:hint="eastAsia" w:ascii="宋体" w:hAnsi="宋体" w:eastAsia="宋体" w:cs="宋体"/>
          <w:b/>
          <w:bCs/>
          <w:spacing w:val="12"/>
          <w:kern w:val="0"/>
          <w:sz w:val="21"/>
          <w:szCs w:val="21"/>
        </w:rPr>
        <w:t>附件一</w:t>
      </w:r>
    </w:p>
    <w:p w14:paraId="7EE2DCD4">
      <w:pPr>
        <w:spacing w:line="480" w:lineRule="auto"/>
        <w:jc w:val="center"/>
        <w:rPr>
          <w:rFonts w:hint="eastAsia" w:ascii="宋体" w:hAnsi="宋体" w:eastAsia="宋体" w:cs="宋体"/>
          <w:b/>
          <w:bCs/>
          <w:color w:val="000000"/>
          <w:sz w:val="21"/>
          <w:szCs w:val="21"/>
        </w:rPr>
      </w:pPr>
    </w:p>
    <w:p w14:paraId="1C023FF5">
      <w:pPr>
        <w:spacing w:line="48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中小企业声明函（货物）</w:t>
      </w:r>
    </w:p>
    <w:p w14:paraId="788CBFE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本公司</w:t>
      </w:r>
      <w:r>
        <w:rPr>
          <w:rFonts w:hint="eastAsia" w:ascii="宋体" w:hAnsi="宋体" w:eastAsia="宋体" w:cs="宋体"/>
          <w:color w:val="000000"/>
          <w:sz w:val="21"/>
          <w:szCs w:val="21"/>
          <w:u w:val="none"/>
        </w:rPr>
        <w:t>（联合体）</w:t>
      </w:r>
      <w:r>
        <w:rPr>
          <w:rFonts w:hint="eastAsia" w:ascii="宋体" w:hAnsi="宋体" w:eastAsia="宋体" w:cs="宋体"/>
          <w:color w:val="000000"/>
          <w:sz w:val="21"/>
          <w:szCs w:val="21"/>
        </w:rPr>
        <w:t>郑重声明，根据《政府采购促进中小企业发展管理办法》（财库﹝2020﹞46 号）的规定，本公司</w:t>
      </w:r>
      <w:r>
        <w:rPr>
          <w:rFonts w:hint="eastAsia" w:ascii="宋体" w:hAnsi="宋体" w:eastAsia="宋体" w:cs="宋体"/>
          <w:color w:val="000000"/>
          <w:sz w:val="21"/>
          <w:szCs w:val="21"/>
          <w:u w:val="none"/>
        </w:rPr>
        <w:t>（联合体）</w:t>
      </w:r>
      <w:r>
        <w:rPr>
          <w:rFonts w:hint="eastAsia" w:ascii="宋体" w:hAnsi="宋体" w:eastAsia="宋体" w:cs="宋体"/>
          <w:color w:val="000000"/>
          <w:sz w:val="21"/>
          <w:szCs w:val="21"/>
        </w:rPr>
        <w:t>参加</w:t>
      </w:r>
      <w:r>
        <w:rPr>
          <w:rFonts w:hint="eastAsia" w:ascii="宋体" w:hAnsi="宋体" w:eastAsia="宋体" w:cs="宋体"/>
          <w:color w:val="000000"/>
          <w:sz w:val="21"/>
          <w:szCs w:val="21"/>
          <w:u w:val="single"/>
        </w:rPr>
        <w:t xml:space="preserve">   （单位名称）</w:t>
      </w:r>
      <w:r>
        <w:rPr>
          <w:rFonts w:hint="eastAsia" w:ascii="宋体" w:hAnsi="宋体" w:eastAsia="宋体" w:cs="宋体"/>
          <w:color w:val="000000"/>
          <w:sz w:val="21"/>
          <w:szCs w:val="21"/>
        </w:rPr>
        <w:t>的</w:t>
      </w:r>
      <w:r>
        <w:rPr>
          <w:rFonts w:hint="eastAsia" w:ascii="宋体" w:hAnsi="宋体" w:eastAsia="宋体" w:cs="宋体"/>
          <w:color w:val="000000"/>
          <w:sz w:val="21"/>
          <w:szCs w:val="21"/>
          <w:u w:val="single"/>
        </w:rPr>
        <w:t xml:space="preserve">   （项目名称）</w:t>
      </w:r>
      <w:r>
        <w:rPr>
          <w:rFonts w:hint="eastAsia" w:ascii="宋体" w:hAnsi="宋体" w:eastAsia="宋体" w:cs="宋体"/>
          <w:color w:val="000000"/>
          <w:sz w:val="21"/>
          <w:szCs w:val="21"/>
        </w:rPr>
        <w:t xml:space="preserve">采购活动，提供的货物全部由符合政策要求的中小企业制造。相关企业（含联合体中的中小企业、签订分包意向协议的中小企业）的具体情况如下： </w:t>
      </w:r>
    </w:p>
    <w:p w14:paraId="7207F423">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 </w:t>
      </w:r>
      <w:r>
        <w:rPr>
          <w:rFonts w:hint="eastAsia" w:ascii="宋体" w:hAnsi="宋体" w:eastAsia="宋体" w:cs="宋体"/>
          <w:color w:val="000000"/>
          <w:sz w:val="21"/>
          <w:szCs w:val="21"/>
          <w:u w:val="single"/>
        </w:rPr>
        <w:t>（标的名称）</w:t>
      </w:r>
      <w:r>
        <w:rPr>
          <w:rFonts w:hint="eastAsia" w:ascii="宋体" w:hAnsi="宋体" w:eastAsia="宋体" w:cs="宋体"/>
          <w:color w:val="000000"/>
          <w:sz w:val="21"/>
          <w:szCs w:val="21"/>
        </w:rPr>
        <w:t xml:space="preserve"> ，属于</w:t>
      </w:r>
      <w:r>
        <w:rPr>
          <w:rFonts w:hint="eastAsia" w:ascii="宋体" w:hAnsi="宋体" w:eastAsia="宋体" w:cs="宋体"/>
          <w:color w:val="000000"/>
          <w:sz w:val="21"/>
          <w:szCs w:val="21"/>
          <w:u w:val="single"/>
        </w:rPr>
        <w:t>（招标文件中明确的所属行业）</w:t>
      </w:r>
      <w:r>
        <w:rPr>
          <w:rFonts w:hint="eastAsia" w:ascii="宋体" w:hAnsi="宋体" w:eastAsia="宋体" w:cs="宋体"/>
          <w:color w:val="000000"/>
          <w:sz w:val="21"/>
          <w:szCs w:val="21"/>
        </w:rPr>
        <w:t xml:space="preserve"> 行业；制造商为</w:t>
      </w:r>
      <w:r>
        <w:rPr>
          <w:rFonts w:hint="eastAsia" w:ascii="宋体" w:hAnsi="宋体" w:eastAsia="宋体" w:cs="宋体"/>
          <w:color w:val="000000"/>
          <w:sz w:val="21"/>
          <w:szCs w:val="21"/>
          <w:u w:val="single"/>
        </w:rPr>
        <w:t xml:space="preserve">（企业名称） </w:t>
      </w:r>
      <w:r>
        <w:rPr>
          <w:rFonts w:hint="eastAsia" w:ascii="宋体" w:hAnsi="宋体" w:eastAsia="宋体" w:cs="宋体"/>
          <w:color w:val="000000"/>
          <w:sz w:val="21"/>
          <w:szCs w:val="21"/>
        </w:rPr>
        <w:t>，从业人员</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人，营业收入为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万元，资产总额为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万元，属于</w:t>
      </w:r>
      <w:r>
        <w:rPr>
          <w:rFonts w:hint="eastAsia" w:ascii="宋体" w:hAnsi="宋体" w:eastAsia="宋体" w:cs="宋体"/>
          <w:color w:val="000000"/>
          <w:sz w:val="21"/>
          <w:szCs w:val="21"/>
          <w:u w:val="single"/>
        </w:rPr>
        <w:t>（中型企业、小型企业、微型企业）</w:t>
      </w:r>
      <w:r>
        <w:rPr>
          <w:rFonts w:hint="eastAsia" w:ascii="宋体" w:hAnsi="宋体" w:eastAsia="宋体" w:cs="宋体"/>
          <w:color w:val="000000"/>
          <w:sz w:val="21"/>
          <w:szCs w:val="21"/>
        </w:rPr>
        <w:t xml:space="preserve">； </w:t>
      </w:r>
    </w:p>
    <w:p w14:paraId="18815C7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u w:val="single"/>
        </w:rPr>
        <w:t>（标的名称）</w:t>
      </w:r>
      <w:r>
        <w:rPr>
          <w:rFonts w:hint="eastAsia" w:ascii="宋体" w:hAnsi="宋体" w:eastAsia="宋体" w:cs="宋体"/>
          <w:color w:val="000000"/>
          <w:sz w:val="21"/>
          <w:szCs w:val="21"/>
        </w:rPr>
        <w:t xml:space="preserve"> ，属于</w:t>
      </w:r>
      <w:r>
        <w:rPr>
          <w:rFonts w:hint="eastAsia" w:ascii="宋体" w:hAnsi="宋体" w:eastAsia="宋体" w:cs="宋体"/>
          <w:color w:val="000000"/>
          <w:sz w:val="21"/>
          <w:szCs w:val="21"/>
          <w:u w:val="single"/>
        </w:rPr>
        <w:t>（招标文件中明确的所属行业）</w:t>
      </w:r>
      <w:r>
        <w:rPr>
          <w:rFonts w:hint="eastAsia" w:ascii="宋体" w:hAnsi="宋体" w:eastAsia="宋体" w:cs="宋体"/>
          <w:color w:val="000000"/>
          <w:sz w:val="21"/>
          <w:szCs w:val="21"/>
        </w:rPr>
        <w:t xml:space="preserve"> 行业；制造商为</w:t>
      </w:r>
      <w:r>
        <w:rPr>
          <w:rFonts w:hint="eastAsia" w:ascii="宋体" w:hAnsi="宋体" w:eastAsia="宋体" w:cs="宋体"/>
          <w:color w:val="000000"/>
          <w:sz w:val="21"/>
          <w:szCs w:val="21"/>
          <w:u w:val="single"/>
        </w:rPr>
        <w:t xml:space="preserve">（企业名称） </w:t>
      </w:r>
      <w:r>
        <w:rPr>
          <w:rFonts w:hint="eastAsia" w:ascii="宋体" w:hAnsi="宋体" w:eastAsia="宋体" w:cs="宋体"/>
          <w:color w:val="000000"/>
          <w:sz w:val="21"/>
          <w:szCs w:val="21"/>
        </w:rPr>
        <w:t>，从业人员</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人，营业收入为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万元，资产总额为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万元，属于</w:t>
      </w:r>
      <w:r>
        <w:rPr>
          <w:rFonts w:hint="eastAsia" w:ascii="宋体" w:hAnsi="宋体" w:eastAsia="宋体" w:cs="宋体"/>
          <w:color w:val="000000"/>
          <w:sz w:val="21"/>
          <w:szCs w:val="21"/>
          <w:u w:val="single"/>
        </w:rPr>
        <w:t>（中型企业、小型企业、微型企业）</w:t>
      </w:r>
      <w:r>
        <w:rPr>
          <w:rFonts w:hint="eastAsia" w:ascii="宋体" w:hAnsi="宋体" w:eastAsia="宋体" w:cs="宋体"/>
          <w:color w:val="000000"/>
          <w:sz w:val="21"/>
          <w:szCs w:val="21"/>
        </w:rPr>
        <w:t>；</w:t>
      </w:r>
    </w:p>
    <w:p w14:paraId="3031D99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p>
    <w:p w14:paraId="220DC77E">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以上企业，不属于大企业的分支机构，不存在控股股东为大企业的情形，也不存在与大企业的负责人为同一人的情形。</w:t>
      </w:r>
    </w:p>
    <w:p w14:paraId="4B015142">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本企业对上述声明内容的真实性负责。如有虚假，将依 法承担相应责任。 </w:t>
      </w:r>
    </w:p>
    <w:p w14:paraId="628D8776">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14:paraId="1F175FF2">
      <w:pPr>
        <w:spacing w:line="360" w:lineRule="auto"/>
        <w:jc w:val="righ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企业名称（电子签章）： </w:t>
      </w:r>
    </w:p>
    <w:p w14:paraId="59439ED2">
      <w:pPr>
        <w:spacing w:line="360" w:lineRule="auto"/>
        <w:jc w:val="righ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日 期： </w:t>
      </w:r>
    </w:p>
    <w:p w14:paraId="57BC1EFC">
      <w:pPr>
        <w:spacing w:line="360" w:lineRule="auto"/>
        <w:rPr>
          <w:rFonts w:hint="eastAsia" w:ascii="宋体" w:hAnsi="宋体" w:eastAsia="宋体" w:cs="宋体"/>
          <w:color w:val="000000"/>
          <w:sz w:val="21"/>
          <w:szCs w:val="21"/>
        </w:rPr>
      </w:pPr>
    </w:p>
    <w:p w14:paraId="15F5F87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注：1、从业人员、营业收入、资产总额填报上一年度数据，无上一年度数据的新成立企业可不填报。</w:t>
      </w:r>
    </w:p>
    <w:p w14:paraId="4453A81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2、非中小企业可不提供此项内容。</w:t>
      </w:r>
    </w:p>
    <w:p w14:paraId="2103DB3B">
      <w:pPr>
        <w:rPr>
          <w:rFonts w:hint="eastAsia" w:ascii="宋体" w:hAnsi="宋体" w:eastAsia="宋体" w:cs="宋体"/>
          <w:color w:val="000000"/>
          <w:sz w:val="21"/>
          <w:szCs w:val="21"/>
        </w:rPr>
      </w:pPr>
    </w:p>
    <w:p w14:paraId="2DF41983">
      <w:pPr>
        <w:spacing w:before="190" w:line="352" w:lineRule="auto"/>
        <w:ind w:left="120" w:firstLine="480"/>
        <w:jc w:val="left"/>
        <w:rPr>
          <w:rFonts w:hint="eastAsia" w:ascii="宋体" w:hAnsi="宋体" w:eastAsia="宋体" w:cs="宋体"/>
          <w:kern w:val="0"/>
          <w:sz w:val="21"/>
          <w:szCs w:val="21"/>
        </w:rPr>
      </w:pPr>
    </w:p>
    <w:p w14:paraId="5B60064B">
      <w:pPr>
        <w:pStyle w:val="19"/>
        <w:ind w:firstLine="0" w:firstLineChars="0"/>
        <w:rPr>
          <w:rFonts w:hint="eastAsia" w:ascii="宋体" w:hAnsi="宋体" w:eastAsia="宋体" w:cs="宋体"/>
          <w:sz w:val="21"/>
          <w:szCs w:val="21"/>
        </w:rPr>
      </w:pPr>
    </w:p>
    <w:p w14:paraId="2D2A76B0">
      <w:pPr>
        <w:pStyle w:val="19"/>
        <w:ind w:firstLine="0" w:firstLineChars="0"/>
        <w:rPr>
          <w:rFonts w:hint="eastAsia" w:ascii="宋体" w:hAnsi="宋体" w:eastAsia="宋体" w:cs="宋体"/>
          <w:sz w:val="21"/>
          <w:szCs w:val="21"/>
        </w:rPr>
        <w:sectPr>
          <w:pgSz w:w="11906" w:h="16838"/>
          <w:pgMar w:top="1134" w:right="1134" w:bottom="1418" w:left="1418" w:header="851" w:footer="992" w:gutter="0"/>
          <w:cols w:space="425" w:num="1"/>
          <w:docGrid w:type="lines" w:linePitch="312" w:charSpace="0"/>
        </w:sectPr>
      </w:pPr>
    </w:p>
    <w:p w14:paraId="3E62885B">
      <w:pPr>
        <w:jc w:val="left"/>
        <w:outlineLvl w:val="2"/>
        <w:rPr>
          <w:rFonts w:hint="eastAsia" w:ascii="宋体" w:hAnsi="宋体" w:eastAsia="宋体" w:cs="宋体"/>
          <w:b/>
          <w:kern w:val="0"/>
          <w:sz w:val="21"/>
          <w:szCs w:val="21"/>
        </w:rPr>
      </w:pPr>
      <w:r>
        <w:rPr>
          <w:rFonts w:hint="eastAsia" w:ascii="宋体" w:hAnsi="宋体" w:eastAsia="宋体" w:cs="宋体"/>
          <w:b/>
          <w:kern w:val="0"/>
          <w:sz w:val="21"/>
          <w:szCs w:val="21"/>
        </w:rPr>
        <w:t>附件二</w:t>
      </w:r>
    </w:p>
    <w:p w14:paraId="59A42F37">
      <w:pPr>
        <w:spacing w:line="400" w:lineRule="exact"/>
        <w:jc w:val="center"/>
        <w:rPr>
          <w:rFonts w:hint="eastAsia" w:ascii="宋体" w:hAnsi="宋体" w:eastAsia="宋体" w:cs="宋体"/>
          <w:kern w:val="0"/>
          <w:sz w:val="21"/>
          <w:szCs w:val="21"/>
        </w:rPr>
      </w:pPr>
      <w:r>
        <w:rPr>
          <w:rFonts w:hint="eastAsia" w:ascii="宋体" w:hAnsi="宋体" w:eastAsia="宋体" w:cs="宋体"/>
          <w:b/>
          <w:bCs/>
          <w:kern w:val="0"/>
          <w:sz w:val="21"/>
          <w:szCs w:val="21"/>
        </w:rPr>
        <w:t>残疾人福利性单位声明函</w:t>
      </w:r>
    </w:p>
    <w:p w14:paraId="19786605">
      <w:pPr>
        <w:spacing w:line="360" w:lineRule="auto"/>
        <w:ind w:firstLine="420" w:firstLineChars="200"/>
        <w:rPr>
          <w:rFonts w:hint="eastAsia" w:ascii="宋体" w:hAnsi="宋体" w:eastAsia="宋体" w:cs="宋体"/>
          <w:kern w:val="0"/>
          <w:sz w:val="21"/>
          <w:szCs w:val="21"/>
        </w:rPr>
      </w:pPr>
    </w:p>
    <w:p w14:paraId="48979207">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单位的______项目采购活动提供本单位制造的货物（由本单位承担工程/提供服务），或者提供其他残疾人福利性单位制造的货物（不包括使用非残疾人福利性单位注册商标的货物）。</w:t>
      </w:r>
    </w:p>
    <w:p w14:paraId="5DE103F8">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14:paraId="1F02D651">
      <w:pPr>
        <w:spacing w:line="360" w:lineRule="auto"/>
        <w:ind w:firstLine="315" w:firstLineChars="150"/>
        <w:rPr>
          <w:rFonts w:hint="eastAsia" w:ascii="宋体" w:hAnsi="宋体" w:eastAsia="宋体" w:cs="宋体"/>
          <w:sz w:val="21"/>
          <w:szCs w:val="21"/>
        </w:rPr>
      </w:pPr>
    </w:p>
    <w:p w14:paraId="51812B73">
      <w:pPr>
        <w:spacing w:line="360" w:lineRule="auto"/>
        <w:ind w:firstLine="315" w:firstLineChars="150"/>
        <w:rPr>
          <w:rFonts w:hint="eastAsia" w:ascii="宋体" w:hAnsi="宋体" w:eastAsia="宋体" w:cs="宋体"/>
          <w:sz w:val="21"/>
          <w:szCs w:val="21"/>
        </w:rPr>
      </w:pPr>
    </w:p>
    <w:p w14:paraId="1EA1ABEE">
      <w:pPr>
        <w:spacing w:line="352" w:lineRule="auto"/>
        <w:ind w:left="4797" w:right="1449"/>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企业名称（电子签章）： </w:t>
      </w:r>
    </w:p>
    <w:p w14:paraId="178A6BAC">
      <w:pPr>
        <w:spacing w:line="352" w:lineRule="auto"/>
        <w:ind w:left="4797" w:right="1449"/>
        <w:jc w:val="left"/>
        <w:rPr>
          <w:rFonts w:hint="eastAsia" w:ascii="宋体" w:hAnsi="宋体" w:eastAsia="宋体" w:cs="宋体"/>
          <w:kern w:val="0"/>
          <w:sz w:val="21"/>
          <w:szCs w:val="21"/>
        </w:rPr>
      </w:pPr>
      <w:r>
        <w:rPr>
          <w:rFonts w:hint="eastAsia" w:ascii="宋体" w:hAnsi="宋体" w:eastAsia="宋体" w:cs="宋体"/>
          <w:kern w:val="0"/>
          <w:sz w:val="21"/>
          <w:szCs w:val="21"/>
        </w:rPr>
        <w:t>日 期：</w:t>
      </w:r>
    </w:p>
    <w:p w14:paraId="285E7F6A">
      <w:pPr>
        <w:spacing w:line="360" w:lineRule="auto"/>
        <w:ind w:firstLine="840" w:firstLineChars="400"/>
        <w:rPr>
          <w:rFonts w:hint="eastAsia" w:ascii="宋体" w:hAnsi="宋体" w:eastAsia="宋体" w:cs="宋体"/>
          <w:kern w:val="0"/>
          <w:sz w:val="21"/>
          <w:szCs w:val="21"/>
        </w:rPr>
      </w:pPr>
    </w:p>
    <w:p w14:paraId="0274ED7C">
      <w:pPr>
        <w:spacing w:line="360" w:lineRule="auto"/>
        <w:ind w:firstLine="840" w:firstLineChars="400"/>
        <w:rPr>
          <w:rFonts w:hint="eastAsia" w:ascii="宋体" w:hAnsi="宋体" w:eastAsia="宋体" w:cs="宋体"/>
          <w:kern w:val="0"/>
          <w:sz w:val="21"/>
          <w:szCs w:val="21"/>
        </w:rPr>
      </w:pPr>
    </w:p>
    <w:p w14:paraId="5C7077E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说明：不属于残疾人福利性单位的投标文件中可不提供此声明函。</w:t>
      </w:r>
    </w:p>
    <w:p w14:paraId="36F4E057">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残疾人福利性单位</w:t>
      </w:r>
      <w:r>
        <w:rPr>
          <w:rFonts w:hint="eastAsia" w:ascii="宋体" w:hAnsi="宋体" w:eastAsia="宋体" w:cs="宋体"/>
          <w:sz w:val="21"/>
          <w:szCs w:val="21"/>
        </w:rPr>
        <w:t>视同小型、微型企业，享受预留份额、评审中价格扣除等政府采购促进中小企业发展的政府采购政策。</w:t>
      </w:r>
    </w:p>
    <w:p w14:paraId="29FA8D84">
      <w:pPr>
        <w:rPr>
          <w:rFonts w:hint="eastAsia" w:ascii="宋体" w:hAnsi="宋体" w:eastAsia="宋体" w:cs="宋体"/>
          <w:sz w:val="21"/>
          <w:szCs w:val="21"/>
        </w:rPr>
      </w:pPr>
    </w:p>
    <w:p w14:paraId="0E8735B6">
      <w:pPr>
        <w:pStyle w:val="19"/>
        <w:ind w:firstLine="0" w:firstLineChars="0"/>
        <w:rPr>
          <w:rFonts w:hint="eastAsia" w:ascii="宋体" w:hAnsi="宋体" w:eastAsia="宋体" w:cs="宋体"/>
          <w:sz w:val="21"/>
          <w:szCs w:val="21"/>
        </w:rPr>
        <w:sectPr>
          <w:pgSz w:w="11906" w:h="16838"/>
          <w:pgMar w:top="1134" w:right="1134" w:bottom="1418" w:left="1418" w:header="851" w:footer="992" w:gutter="0"/>
          <w:cols w:space="425" w:num="1"/>
          <w:docGrid w:type="lines" w:linePitch="312" w:charSpace="0"/>
        </w:sectPr>
      </w:pPr>
    </w:p>
    <w:p w14:paraId="49E00B29">
      <w:pPr>
        <w:outlineLvl w:val="2"/>
        <w:rPr>
          <w:rFonts w:hint="eastAsia" w:ascii="宋体" w:hAnsi="宋体" w:eastAsia="宋体" w:cs="宋体"/>
          <w:b/>
          <w:kern w:val="0"/>
          <w:sz w:val="21"/>
          <w:szCs w:val="21"/>
        </w:rPr>
      </w:pPr>
      <w:r>
        <w:rPr>
          <w:rFonts w:hint="eastAsia" w:ascii="宋体" w:hAnsi="宋体" w:eastAsia="宋体" w:cs="宋体"/>
          <w:b/>
          <w:kern w:val="0"/>
          <w:sz w:val="21"/>
          <w:szCs w:val="21"/>
          <w:lang w:val="zh-TW" w:eastAsia="zh-TW" w:bidi="zh-TW"/>
        </w:rPr>
        <w:t>附件</w:t>
      </w:r>
      <w:r>
        <w:rPr>
          <w:rFonts w:hint="eastAsia" w:ascii="宋体" w:hAnsi="宋体" w:eastAsia="宋体" w:cs="宋体"/>
          <w:b/>
          <w:kern w:val="0"/>
          <w:sz w:val="21"/>
          <w:szCs w:val="21"/>
          <w:lang w:val="zh-TW" w:bidi="zh-TW"/>
        </w:rPr>
        <w:t>三</w:t>
      </w:r>
    </w:p>
    <w:p w14:paraId="1C0239BC">
      <w:pPr>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关于监狱企业（如有）</w:t>
      </w:r>
    </w:p>
    <w:p w14:paraId="4D4972E9">
      <w:pPr>
        <w:spacing w:line="360" w:lineRule="auto"/>
        <w:ind w:firstLine="420" w:firstLineChars="200"/>
        <w:rPr>
          <w:rFonts w:hint="eastAsia" w:ascii="宋体" w:hAnsi="宋体" w:eastAsia="宋体" w:cs="宋体"/>
          <w:kern w:val="0"/>
          <w:sz w:val="21"/>
          <w:szCs w:val="21"/>
        </w:rPr>
      </w:pPr>
    </w:p>
    <w:p w14:paraId="1D0309C3">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1、政府采购政策</w:t>
      </w:r>
    </w:p>
    <w:p w14:paraId="7794DBFD">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财政部、司法部关于政府采购支持监狱企业发展有关问题的通知（财库【2014】68号）</w:t>
      </w:r>
    </w:p>
    <w:p w14:paraId="5A78200B">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2、附证明材料</w:t>
      </w:r>
    </w:p>
    <w:p w14:paraId="3FA1DC90">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提供由省级以上监狱管理局、戒毒管理局（含新疆生产建设兵团）出具的属于监狱企业的证明文件。</w:t>
      </w:r>
    </w:p>
    <w:p w14:paraId="6CA14D6B">
      <w:pPr>
        <w:spacing w:line="360" w:lineRule="auto"/>
        <w:ind w:firstLine="315" w:firstLineChars="150"/>
        <w:rPr>
          <w:rFonts w:hint="eastAsia" w:ascii="宋体" w:hAnsi="宋体" w:eastAsia="宋体" w:cs="宋体"/>
          <w:sz w:val="21"/>
          <w:szCs w:val="21"/>
        </w:rPr>
      </w:pPr>
    </w:p>
    <w:p w14:paraId="1A7D325E">
      <w:pPr>
        <w:pStyle w:val="41"/>
        <w:spacing w:after="0"/>
        <w:jc w:val="both"/>
        <w:outlineLvl w:val="2"/>
        <w:rPr>
          <w:rFonts w:hint="eastAsia" w:ascii="宋体" w:hAnsi="宋体" w:eastAsia="宋体" w:cs="宋体"/>
          <w:b/>
          <w:kern w:val="0"/>
          <w:sz w:val="21"/>
          <w:szCs w:val="21"/>
          <w:lang w:val="en-US"/>
        </w:rPr>
        <w:sectPr>
          <w:pgSz w:w="11906" w:h="16838"/>
          <w:pgMar w:top="1134" w:right="1134" w:bottom="1418" w:left="1418" w:header="851" w:footer="992" w:gutter="0"/>
          <w:cols w:space="425" w:num="1"/>
          <w:docGrid w:type="lines" w:linePitch="312" w:charSpace="0"/>
        </w:sectPr>
      </w:pPr>
    </w:p>
    <w:p w14:paraId="79EBDC49">
      <w:pPr>
        <w:outlineLvl w:val="2"/>
        <w:rPr>
          <w:rFonts w:hint="eastAsia" w:ascii="宋体" w:hAnsi="宋体" w:eastAsia="宋体" w:cs="宋体"/>
          <w:b/>
          <w:kern w:val="0"/>
          <w:sz w:val="21"/>
          <w:szCs w:val="21"/>
        </w:rPr>
      </w:pPr>
      <w:r>
        <w:rPr>
          <w:rFonts w:hint="eastAsia" w:ascii="宋体" w:hAnsi="宋体" w:eastAsia="宋体" w:cs="宋体"/>
          <w:b/>
          <w:kern w:val="0"/>
          <w:sz w:val="21"/>
          <w:szCs w:val="21"/>
          <w:lang w:val="zh-TW" w:eastAsia="zh-TW" w:bidi="zh-TW"/>
        </w:rPr>
        <w:t>附件</w:t>
      </w:r>
      <w:r>
        <w:rPr>
          <w:rFonts w:hint="eastAsia" w:ascii="宋体" w:hAnsi="宋体" w:eastAsia="宋体" w:cs="宋体"/>
          <w:b/>
          <w:kern w:val="0"/>
          <w:sz w:val="21"/>
          <w:szCs w:val="21"/>
          <w:lang w:val="zh-TW" w:bidi="zh-TW"/>
        </w:rPr>
        <w:t>四</w:t>
      </w:r>
    </w:p>
    <w:p w14:paraId="378DD882">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关于印发中小企业划型标准规定的通知</w:t>
      </w:r>
    </w:p>
    <w:p w14:paraId="4E56E040">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工信部联企业[2011]300号</w:t>
      </w:r>
    </w:p>
    <w:p w14:paraId="50285B0E">
      <w:pPr>
        <w:rPr>
          <w:rFonts w:hint="eastAsia" w:ascii="宋体" w:hAnsi="宋体" w:eastAsia="宋体" w:cs="宋体"/>
          <w:color w:val="000000"/>
          <w:sz w:val="21"/>
          <w:szCs w:val="21"/>
        </w:rPr>
      </w:pPr>
      <w:r>
        <w:rPr>
          <w:rFonts w:hint="eastAsia" w:ascii="宋体" w:hAnsi="宋体" w:eastAsia="宋体" w:cs="宋体"/>
          <w:color w:val="000000"/>
          <w:sz w:val="21"/>
          <w:szCs w:val="21"/>
        </w:rPr>
        <w:t>各省、自治区、直辖市人民政府，国务院各部委、各直属机构及有关单位：</w:t>
      </w:r>
    </w:p>
    <w:p w14:paraId="361CA0C0">
      <w:pPr>
        <w:rPr>
          <w:rFonts w:hint="eastAsia" w:ascii="宋体" w:hAnsi="宋体" w:eastAsia="宋体" w:cs="宋体"/>
          <w:color w:val="000000"/>
          <w:sz w:val="21"/>
          <w:szCs w:val="21"/>
        </w:rPr>
      </w:pPr>
      <w:r>
        <w:rPr>
          <w:rFonts w:hint="eastAsia" w:ascii="宋体" w:hAnsi="宋体" w:eastAsia="宋体" w:cs="宋体"/>
          <w:color w:val="000000"/>
          <w:sz w:val="21"/>
          <w:szCs w:val="21"/>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0F1590E">
      <w:pPr>
        <w:rPr>
          <w:rFonts w:hint="eastAsia" w:ascii="宋体" w:hAnsi="宋体" w:eastAsia="宋体" w:cs="宋体"/>
          <w:color w:val="000000"/>
          <w:sz w:val="21"/>
          <w:szCs w:val="21"/>
        </w:rPr>
      </w:pPr>
      <w:r>
        <w:rPr>
          <w:rFonts w:hint="eastAsia" w:ascii="宋体" w:hAnsi="宋体" w:eastAsia="宋体" w:cs="宋体"/>
          <w:color w:val="000000"/>
          <w:sz w:val="21"/>
          <w:szCs w:val="21"/>
        </w:rPr>
        <w:t>　　　　　　　　　　　　　　　　　　　　　　工业和信息化部　国家统计局</w:t>
      </w:r>
    </w:p>
    <w:p w14:paraId="7980C98D">
      <w:pPr>
        <w:rPr>
          <w:rFonts w:hint="eastAsia" w:ascii="宋体" w:hAnsi="宋体" w:eastAsia="宋体" w:cs="宋体"/>
          <w:color w:val="000000"/>
          <w:sz w:val="21"/>
          <w:szCs w:val="21"/>
        </w:rPr>
      </w:pPr>
      <w:r>
        <w:rPr>
          <w:rFonts w:hint="eastAsia" w:ascii="宋体" w:hAnsi="宋体" w:eastAsia="宋体" w:cs="宋体"/>
          <w:color w:val="000000"/>
          <w:sz w:val="21"/>
          <w:szCs w:val="21"/>
        </w:rPr>
        <w:t>　　　　　　　　　　　　　　　　　　　　　　国家发展和改革委员会　财政部</w:t>
      </w:r>
    </w:p>
    <w:p w14:paraId="2B626EB8">
      <w:pPr>
        <w:rPr>
          <w:rFonts w:hint="eastAsia" w:ascii="宋体" w:hAnsi="宋体" w:eastAsia="宋体" w:cs="宋体"/>
          <w:color w:val="000000"/>
          <w:sz w:val="21"/>
          <w:szCs w:val="21"/>
        </w:rPr>
      </w:pPr>
      <w:r>
        <w:rPr>
          <w:rFonts w:hint="eastAsia" w:ascii="宋体" w:hAnsi="宋体" w:eastAsia="宋体" w:cs="宋体"/>
          <w:color w:val="000000"/>
          <w:sz w:val="21"/>
          <w:szCs w:val="21"/>
        </w:rPr>
        <w:t>　　　　　　　　　　　　　　　　　　　　　　　　二〇一一年六月十八日</w:t>
      </w:r>
    </w:p>
    <w:p w14:paraId="2D62207D">
      <w:pPr>
        <w:rPr>
          <w:rFonts w:hint="eastAsia" w:ascii="宋体" w:hAnsi="宋体" w:eastAsia="宋体" w:cs="宋体"/>
          <w:color w:val="000000"/>
          <w:sz w:val="21"/>
          <w:szCs w:val="21"/>
        </w:rPr>
      </w:pPr>
    </w:p>
    <w:p w14:paraId="1785989D">
      <w:pPr>
        <w:rPr>
          <w:rFonts w:hint="eastAsia" w:ascii="宋体" w:hAnsi="宋体" w:eastAsia="宋体" w:cs="宋体"/>
          <w:color w:val="000000"/>
          <w:sz w:val="21"/>
          <w:szCs w:val="21"/>
        </w:rPr>
      </w:pPr>
      <w:r>
        <w:rPr>
          <w:rFonts w:hint="eastAsia" w:ascii="宋体" w:hAnsi="宋体" w:eastAsia="宋体" w:cs="宋体"/>
          <w:color w:val="000000"/>
          <w:sz w:val="21"/>
          <w:szCs w:val="21"/>
        </w:rPr>
        <w:t>中小企业划型标准规定</w:t>
      </w:r>
    </w:p>
    <w:p w14:paraId="1AD26736">
      <w:pPr>
        <w:rPr>
          <w:rFonts w:hint="eastAsia" w:ascii="宋体" w:hAnsi="宋体" w:eastAsia="宋体" w:cs="宋体"/>
          <w:color w:val="000000"/>
          <w:sz w:val="21"/>
          <w:szCs w:val="21"/>
        </w:rPr>
      </w:pPr>
      <w:r>
        <w:rPr>
          <w:rFonts w:hint="eastAsia" w:ascii="宋体" w:hAnsi="宋体" w:eastAsia="宋体" w:cs="宋体"/>
          <w:color w:val="000000"/>
          <w:sz w:val="21"/>
          <w:szCs w:val="21"/>
        </w:rPr>
        <w:t>　一、根据《中华人民共和国中小企业促进法》和《国务院关于进一步促进中小企业发展的若干意见》(国发〔2009〕36号)，制定本规定。</w:t>
      </w:r>
    </w:p>
    <w:p w14:paraId="23910362">
      <w:pPr>
        <w:rPr>
          <w:rFonts w:hint="eastAsia" w:ascii="宋体" w:hAnsi="宋体" w:eastAsia="宋体" w:cs="宋体"/>
          <w:color w:val="000000"/>
          <w:sz w:val="21"/>
          <w:szCs w:val="21"/>
        </w:rPr>
      </w:pPr>
      <w:r>
        <w:rPr>
          <w:rFonts w:hint="eastAsia" w:ascii="宋体" w:hAnsi="宋体" w:eastAsia="宋体" w:cs="宋体"/>
          <w:color w:val="000000"/>
          <w:sz w:val="21"/>
          <w:szCs w:val="21"/>
        </w:rPr>
        <w:t>　二、中小企业划分为中型、小型、微型三种类型，具体标准根据企业从业人员、营业收入、资产总额等指标，结合行业特点制定。</w:t>
      </w:r>
    </w:p>
    <w:p w14:paraId="37BCF8AC">
      <w:pPr>
        <w:rPr>
          <w:rFonts w:hint="eastAsia" w:ascii="宋体" w:hAnsi="宋体" w:eastAsia="宋体" w:cs="宋体"/>
          <w:color w:val="000000"/>
          <w:sz w:val="21"/>
          <w:szCs w:val="21"/>
        </w:rPr>
      </w:pPr>
      <w:r>
        <w:rPr>
          <w:rFonts w:hint="eastAsia" w:ascii="宋体" w:hAnsi="宋体" w:eastAsia="宋体" w:cs="宋体"/>
          <w:color w:val="000000"/>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ED5C8CC">
      <w:pPr>
        <w:rPr>
          <w:rFonts w:hint="eastAsia" w:ascii="宋体" w:hAnsi="宋体" w:eastAsia="宋体" w:cs="宋体"/>
          <w:color w:val="000000"/>
          <w:sz w:val="21"/>
          <w:szCs w:val="21"/>
        </w:rPr>
      </w:pPr>
      <w:r>
        <w:rPr>
          <w:rFonts w:hint="eastAsia" w:ascii="宋体" w:hAnsi="宋体" w:eastAsia="宋体" w:cs="宋体"/>
          <w:color w:val="000000"/>
          <w:sz w:val="21"/>
          <w:szCs w:val="21"/>
        </w:rPr>
        <w:t>　四、各行业划型标准为：</w:t>
      </w:r>
    </w:p>
    <w:p w14:paraId="4A45F67D">
      <w:pPr>
        <w:rPr>
          <w:rFonts w:hint="eastAsia" w:ascii="宋体" w:hAnsi="宋体" w:eastAsia="宋体" w:cs="宋体"/>
          <w:color w:val="000000"/>
          <w:sz w:val="21"/>
          <w:szCs w:val="21"/>
        </w:rPr>
      </w:pPr>
      <w:r>
        <w:rPr>
          <w:rFonts w:hint="eastAsia" w:ascii="宋体" w:hAnsi="宋体" w:eastAsia="宋体" w:cs="宋体"/>
          <w:color w:val="000000"/>
          <w:sz w:val="21"/>
          <w:szCs w:val="21"/>
        </w:rPr>
        <w:t>（一）农、林、牧、渔业。营业收入20000万元以下的为中小微型企业。其中，营业收入500万元及以上的为中型企业，营业收入50万元及以上的为小型企业，营业收入50万元以下的为微型企业。</w:t>
      </w:r>
    </w:p>
    <w:p w14:paraId="24BB0F7A">
      <w:pPr>
        <w:rPr>
          <w:rFonts w:hint="eastAsia" w:ascii="宋体" w:hAnsi="宋体" w:eastAsia="宋体" w:cs="宋体"/>
          <w:color w:val="000000"/>
          <w:sz w:val="21"/>
          <w:szCs w:val="21"/>
        </w:rPr>
      </w:pPr>
      <w:r>
        <w:rPr>
          <w:rFonts w:hint="eastAsia" w:ascii="宋体" w:hAnsi="宋体" w:eastAsia="宋体" w:cs="宋体"/>
          <w:color w:val="000000"/>
          <w:sz w:val="21"/>
          <w:szCs w:val="21"/>
        </w:rPr>
        <w:t>（二）</w:t>
      </w:r>
      <w:r>
        <w:rPr>
          <w:rFonts w:hint="eastAsia" w:ascii="宋体" w:hAnsi="宋体" w:eastAsia="宋体" w:cs="宋体"/>
          <w:sz w:val="21"/>
          <w:szCs w:val="21"/>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80340A1">
      <w:pPr>
        <w:rPr>
          <w:rFonts w:hint="eastAsia" w:ascii="宋体" w:hAnsi="宋体" w:eastAsia="宋体" w:cs="宋体"/>
          <w:color w:val="000000"/>
          <w:sz w:val="21"/>
          <w:szCs w:val="21"/>
        </w:rPr>
      </w:pPr>
      <w:r>
        <w:rPr>
          <w:rFonts w:hint="eastAsia" w:ascii="宋体" w:hAnsi="宋体" w:eastAsia="宋体" w:cs="宋体"/>
          <w:color w:val="00000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EF1431">
      <w:pPr>
        <w:rPr>
          <w:rFonts w:hint="eastAsia" w:ascii="宋体" w:hAnsi="宋体" w:eastAsia="宋体" w:cs="宋体"/>
          <w:color w:val="000000"/>
          <w:sz w:val="21"/>
          <w:szCs w:val="21"/>
        </w:rPr>
      </w:pPr>
      <w:r>
        <w:rPr>
          <w:rFonts w:hint="eastAsia" w:ascii="宋体" w:hAnsi="宋体" w:eastAsia="宋体" w:cs="宋体"/>
          <w:color w:val="00000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1F14E2">
      <w:pPr>
        <w:rPr>
          <w:rFonts w:hint="eastAsia" w:ascii="宋体" w:hAnsi="宋体" w:eastAsia="宋体" w:cs="宋体"/>
          <w:color w:val="000000"/>
          <w:sz w:val="21"/>
          <w:szCs w:val="21"/>
        </w:rPr>
      </w:pPr>
      <w:r>
        <w:rPr>
          <w:rFonts w:hint="eastAsia" w:ascii="宋体" w:hAnsi="宋体" w:eastAsia="宋体" w:cs="宋体"/>
          <w:color w:val="00000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3C47CC2">
      <w:pPr>
        <w:rPr>
          <w:rFonts w:hint="eastAsia" w:ascii="宋体" w:hAnsi="宋体" w:eastAsia="宋体" w:cs="宋体"/>
          <w:color w:val="000000"/>
          <w:sz w:val="21"/>
          <w:szCs w:val="21"/>
        </w:rPr>
      </w:pPr>
      <w:r>
        <w:rPr>
          <w:rFonts w:hint="eastAsia" w:ascii="宋体" w:hAnsi="宋体" w:eastAsia="宋体" w:cs="宋体"/>
          <w:color w:val="00000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F473B0A">
      <w:pPr>
        <w:rPr>
          <w:rFonts w:hint="eastAsia" w:ascii="宋体" w:hAnsi="宋体" w:eastAsia="宋体" w:cs="宋体"/>
          <w:color w:val="000000"/>
          <w:sz w:val="21"/>
          <w:szCs w:val="21"/>
        </w:rPr>
      </w:pPr>
      <w:r>
        <w:rPr>
          <w:rFonts w:hint="eastAsia" w:ascii="宋体" w:hAnsi="宋体" w:eastAsia="宋体" w:cs="宋体"/>
          <w:color w:val="00000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504FB27">
      <w:pPr>
        <w:rPr>
          <w:rFonts w:hint="eastAsia" w:ascii="宋体" w:hAnsi="宋体" w:eastAsia="宋体" w:cs="宋体"/>
          <w:color w:val="000000"/>
          <w:sz w:val="21"/>
          <w:szCs w:val="21"/>
        </w:rPr>
      </w:pPr>
      <w:r>
        <w:rPr>
          <w:rFonts w:hint="eastAsia" w:ascii="宋体" w:hAnsi="宋体" w:eastAsia="宋体" w:cs="宋体"/>
          <w:color w:val="00000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5A491EA">
      <w:pPr>
        <w:rPr>
          <w:rFonts w:hint="eastAsia" w:ascii="宋体" w:hAnsi="宋体" w:eastAsia="宋体" w:cs="宋体"/>
          <w:color w:val="000000"/>
          <w:sz w:val="21"/>
          <w:szCs w:val="21"/>
        </w:rPr>
      </w:pPr>
      <w:r>
        <w:rPr>
          <w:rFonts w:hint="eastAsia" w:ascii="宋体" w:hAnsi="宋体" w:eastAsia="宋体" w:cs="宋体"/>
          <w:color w:val="00000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4C6AD12">
      <w:pPr>
        <w:rPr>
          <w:rFonts w:hint="eastAsia" w:ascii="宋体" w:hAnsi="宋体" w:eastAsia="宋体" w:cs="宋体"/>
          <w:color w:val="000000"/>
          <w:sz w:val="21"/>
          <w:szCs w:val="21"/>
        </w:rPr>
      </w:pPr>
      <w:r>
        <w:rPr>
          <w:rFonts w:hint="eastAsia" w:ascii="宋体" w:hAnsi="宋体" w:eastAsia="宋体" w:cs="宋体"/>
          <w:color w:val="00000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3DED4C">
      <w:pPr>
        <w:rPr>
          <w:rFonts w:hint="eastAsia" w:ascii="宋体" w:hAnsi="宋体" w:eastAsia="宋体" w:cs="宋体"/>
          <w:color w:val="000000"/>
          <w:sz w:val="21"/>
          <w:szCs w:val="21"/>
        </w:rPr>
      </w:pPr>
      <w:r>
        <w:rPr>
          <w:rFonts w:hint="eastAsia" w:ascii="宋体" w:hAnsi="宋体" w:eastAsia="宋体" w:cs="宋体"/>
          <w:color w:val="00000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2D4CD59">
      <w:pPr>
        <w:rPr>
          <w:rFonts w:hint="eastAsia" w:ascii="宋体" w:hAnsi="宋体" w:eastAsia="宋体" w:cs="宋体"/>
          <w:color w:val="000000"/>
          <w:sz w:val="21"/>
          <w:szCs w:val="21"/>
        </w:rPr>
      </w:pPr>
      <w:r>
        <w:rPr>
          <w:rFonts w:hint="eastAsia" w:ascii="宋体" w:hAnsi="宋体" w:eastAsia="宋体" w:cs="宋体"/>
          <w:color w:val="00000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73B9169">
      <w:pPr>
        <w:rPr>
          <w:rFonts w:hint="eastAsia" w:ascii="宋体" w:hAnsi="宋体" w:eastAsia="宋体" w:cs="宋体"/>
          <w:color w:val="000000"/>
          <w:sz w:val="21"/>
          <w:szCs w:val="21"/>
        </w:rPr>
      </w:pPr>
      <w:r>
        <w:rPr>
          <w:rFonts w:hint="eastAsia" w:ascii="宋体" w:hAnsi="宋体" w:eastAsia="宋体" w:cs="宋体"/>
          <w:color w:val="00000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E4B247A">
      <w:pPr>
        <w:rPr>
          <w:rFonts w:hint="eastAsia" w:ascii="宋体" w:hAnsi="宋体" w:eastAsia="宋体" w:cs="宋体"/>
          <w:color w:val="000000"/>
          <w:sz w:val="21"/>
          <w:szCs w:val="21"/>
        </w:rPr>
      </w:pPr>
      <w:r>
        <w:rPr>
          <w:rFonts w:hint="eastAsia" w:ascii="宋体" w:hAnsi="宋体" w:eastAsia="宋体" w:cs="宋体"/>
          <w:color w:val="00000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20EB6A1">
      <w:pPr>
        <w:rPr>
          <w:rFonts w:hint="eastAsia" w:ascii="宋体" w:hAnsi="宋体" w:eastAsia="宋体" w:cs="宋体"/>
          <w:color w:val="000000"/>
          <w:sz w:val="21"/>
          <w:szCs w:val="21"/>
        </w:rPr>
      </w:pPr>
      <w:r>
        <w:rPr>
          <w:rFonts w:hint="eastAsia" w:ascii="宋体" w:hAnsi="宋体" w:eastAsia="宋体" w:cs="宋体"/>
          <w:color w:val="00000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F5F4D21">
      <w:pPr>
        <w:rPr>
          <w:rFonts w:hint="eastAsia" w:ascii="宋体" w:hAnsi="宋体" w:eastAsia="宋体" w:cs="宋体"/>
          <w:color w:val="000000"/>
          <w:sz w:val="21"/>
          <w:szCs w:val="21"/>
        </w:rPr>
      </w:pPr>
      <w:r>
        <w:rPr>
          <w:rFonts w:hint="eastAsia" w:ascii="宋体" w:hAnsi="宋体" w:eastAsia="宋体" w:cs="宋体"/>
          <w:color w:val="000000"/>
          <w:sz w:val="21"/>
          <w:szCs w:val="21"/>
        </w:rPr>
        <w:t>（十六）其他未列明行业。从业人员300人以下的为中小微型企业。其中，从业人员100人及以上的为中型企业；从业人员10人及以上的为小型企业；从业人员10人以下的为微型企业。</w:t>
      </w:r>
    </w:p>
    <w:p w14:paraId="22B11700">
      <w:pPr>
        <w:rPr>
          <w:rFonts w:hint="eastAsia" w:ascii="宋体" w:hAnsi="宋体" w:eastAsia="宋体" w:cs="宋体"/>
          <w:color w:val="000000"/>
          <w:sz w:val="21"/>
          <w:szCs w:val="21"/>
        </w:rPr>
      </w:pPr>
      <w:r>
        <w:rPr>
          <w:rFonts w:hint="eastAsia" w:ascii="宋体" w:hAnsi="宋体" w:eastAsia="宋体" w:cs="宋体"/>
          <w:color w:val="000000"/>
          <w:sz w:val="21"/>
          <w:szCs w:val="21"/>
        </w:rPr>
        <w:t>五、企业类型的划分以统计部门的统计数据为依据。</w:t>
      </w:r>
    </w:p>
    <w:p w14:paraId="4FDA0AC0">
      <w:pPr>
        <w:rPr>
          <w:rFonts w:hint="eastAsia" w:ascii="宋体" w:hAnsi="宋体" w:eastAsia="宋体" w:cs="宋体"/>
          <w:color w:val="000000"/>
          <w:sz w:val="21"/>
          <w:szCs w:val="21"/>
        </w:rPr>
      </w:pPr>
      <w:r>
        <w:rPr>
          <w:rFonts w:hint="eastAsia" w:ascii="宋体" w:hAnsi="宋体" w:eastAsia="宋体" w:cs="宋体"/>
          <w:color w:val="000000"/>
          <w:sz w:val="21"/>
          <w:szCs w:val="21"/>
        </w:rPr>
        <w:t>六、本规定适用于在中华人民共和国境内依法设立的各类所有制和各种组织形式的企业。个体工商户和本规定以外的行业，参照本规定进行划型。</w:t>
      </w:r>
    </w:p>
    <w:p w14:paraId="13C62000">
      <w:pPr>
        <w:rPr>
          <w:rFonts w:hint="eastAsia" w:ascii="宋体" w:hAnsi="宋体" w:eastAsia="宋体" w:cs="宋体"/>
          <w:color w:val="000000"/>
          <w:sz w:val="21"/>
          <w:szCs w:val="21"/>
        </w:rPr>
      </w:pPr>
      <w:r>
        <w:rPr>
          <w:rFonts w:hint="eastAsia" w:ascii="宋体" w:hAnsi="宋体" w:eastAsia="宋体" w:cs="宋体"/>
          <w:color w:val="000000"/>
          <w:sz w:val="21"/>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3FA809AB">
      <w:pPr>
        <w:rPr>
          <w:rFonts w:hint="eastAsia" w:ascii="宋体" w:hAnsi="宋体" w:eastAsia="宋体" w:cs="宋体"/>
          <w:color w:val="000000"/>
          <w:sz w:val="21"/>
          <w:szCs w:val="21"/>
        </w:rPr>
      </w:pPr>
      <w:r>
        <w:rPr>
          <w:rFonts w:hint="eastAsia" w:ascii="宋体" w:hAnsi="宋体" w:eastAsia="宋体" w:cs="宋体"/>
          <w:color w:val="000000"/>
          <w:sz w:val="21"/>
          <w:szCs w:val="21"/>
        </w:rPr>
        <w:t>八、本规定由工业和信息化部、国家统计局会同有关部门根据《国民经济行业分类》修订情况和企业发展变化情况适时修订。</w:t>
      </w:r>
    </w:p>
    <w:p w14:paraId="4D3F7DEC">
      <w:pPr>
        <w:rPr>
          <w:rFonts w:hint="eastAsia" w:ascii="宋体" w:hAnsi="宋体" w:eastAsia="宋体" w:cs="宋体"/>
          <w:color w:val="000000"/>
          <w:sz w:val="21"/>
          <w:szCs w:val="21"/>
        </w:rPr>
      </w:pPr>
      <w:r>
        <w:rPr>
          <w:rFonts w:hint="eastAsia" w:ascii="宋体" w:hAnsi="宋体" w:eastAsia="宋体" w:cs="宋体"/>
          <w:color w:val="000000"/>
          <w:sz w:val="21"/>
          <w:szCs w:val="21"/>
        </w:rPr>
        <w:t>九、本规定由工业和信息化部、国家统计局会同有关部门负责解释。</w:t>
      </w:r>
    </w:p>
    <w:p w14:paraId="7C947816">
      <w:pPr>
        <w:rPr>
          <w:rFonts w:hint="eastAsia" w:ascii="宋体" w:hAnsi="宋体" w:eastAsia="宋体" w:cs="宋体"/>
          <w:color w:val="000000"/>
          <w:sz w:val="21"/>
          <w:szCs w:val="21"/>
        </w:rPr>
      </w:pPr>
      <w:r>
        <w:rPr>
          <w:rFonts w:hint="eastAsia" w:ascii="宋体" w:hAnsi="宋体" w:eastAsia="宋体" w:cs="宋体"/>
          <w:color w:val="000000"/>
          <w:sz w:val="21"/>
          <w:szCs w:val="21"/>
        </w:rPr>
        <w:t>十、本规定自发布之日起执行，原国家经贸委、原国家计委、财政部和国家统计局2003年颁布的《中小企业标准暂行规定》同时废止。</w:t>
      </w:r>
    </w:p>
    <w:p w14:paraId="48250C26">
      <w:pPr>
        <w:rPr>
          <w:rFonts w:hint="eastAsia" w:ascii="宋体" w:hAnsi="宋体" w:eastAsia="宋体" w:cs="宋体"/>
          <w:color w:val="000000"/>
          <w:sz w:val="21"/>
          <w:szCs w:val="21"/>
        </w:rPr>
      </w:pPr>
    </w:p>
    <w:p w14:paraId="22437E91">
      <w:pPr>
        <w:spacing w:after="240"/>
        <w:jc w:val="center"/>
        <w:rPr>
          <w:rFonts w:hint="eastAsia" w:ascii="宋体" w:hAnsi="宋体" w:eastAsia="宋体" w:cs="宋体"/>
          <w:sz w:val="21"/>
          <w:szCs w:val="21"/>
          <w:lang w:val="zh-TW" w:eastAsia="zh-TW" w:bidi="zh-TW"/>
        </w:rPr>
        <w:sectPr>
          <w:pgSz w:w="11906" w:h="16838"/>
          <w:pgMar w:top="1134" w:right="1134" w:bottom="1418" w:left="1418" w:header="851" w:footer="992" w:gutter="0"/>
          <w:cols w:space="425" w:num="1"/>
          <w:docGrid w:type="lines" w:linePitch="312" w:charSpace="0"/>
        </w:sectPr>
      </w:pPr>
    </w:p>
    <w:p w14:paraId="3BDD36CA">
      <w:pPr>
        <w:outlineLvl w:val="2"/>
        <w:rPr>
          <w:rFonts w:hint="eastAsia" w:ascii="宋体" w:hAnsi="宋体" w:eastAsia="宋体" w:cs="宋体"/>
          <w:b/>
          <w:kern w:val="0"/>
          <w:sz w:val="21"/>
          <w:szCs w:val="21"/>
        </w:rPr>
      </w:pPr>
      <w:r>
        <w:rPr>
          <w:rFonts w:hint="eastAsia" w:ascii="宋体" w:hAnsi="宋体" w:eastAsia="宋体" w:cs="宋体"/>
          <w:b/>
          <w:kern w:val="0"/>
          <w:sz w:val="21"/>
          <w:szCs w:val="21"/>
          <w:lang w:val="zh-TW" w:eastAsia="zh-TW" w:bidi="zh-TW"/>
        </w:rPr>
        <w:t>附件</w:t>
      </w:r>
      <w:r>
        <w:rPr>
          <w:rFonts w:hint="eastAsia" w:ascii="宋体" w:hAnsi="宋体" w:eastAsia="宋体" w:cs="宋体"/>
          <w:b/>
          <w:kern w:val="0"/>
          <w:sz w:val="21"/>
          <w:szCs w:val="21"/>
          <w:lang w:val="zh-TW" w:bidi="zh-TW"/>
        </w:rPr>
        <w:t>五</w:t>
      </w:r>
    </w:p>
    <w:p w14:paraId="61BB4932">
      <w:pPr>
        <w:rPr>
          <w:rFonts w:hint="eastAsia" w:ascii="宋体" w:hAnsi="宋体" w:eastAsia="宋体" w:cs="宋体"/>
          <w:sz w:val="21"/>
          <w:szCs w:val="21"/>
        </w:rPr>
      </w:pPr>
    </w:p>
    <w:p w14:paraId="7AB2751D">
      <w:pPr>
        <w:spacing w:after="240"/>
        <w:jc w:val="center"/>
        <w:rPr>
          <w:rFonts w:hint="eastAsia" w:ascii="宋体" w:hAnsi="宋体" w:eastAsia="宋体" w:cs="宋体"/>
          <w:sz w:val="21"/>
          <w:szCs w:val="21"/>
          <w:lang w:val="zh-TW" w:bidi="zh-TW"/>
        </w:rPr>
      </w:pPr>
      <w:r>
        <w:rPr>
          <w:rFonts w:hint="eastAsia" w:ascii="宋体" w:hAnsi="宋体" w:eastAsia="宋体" w:cs="宋体"/>
          <w:sz w:val="21"/>
          <w:szCs w:val="21"/>
          <w:lang w:val="zh-TW" w:eastAsia="zh-TW" w:bidi="zh-TW"/>
        </w:rPr>
        <w:t>河南省政府采购合同融资政策告知函</w:t>
      </w:r>
    </w:p>
    <w:p w14:paraId="015FA904">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各供应商：</w:t>
      </w:r>
    </w:p>
    <w:p w14:paraId="58CC680D">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欢迎贵公司参与河南省政府采购活动！</w:t>
      </w:r>
    </w:p>
    <w:p w14:paraId="15C6243D">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1FE55A0">
      <w:pPr>
        <w:widowControl/>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 xml:space="preserve">贷款渠道和提供贷款的金融机构，可在河南省政府采购网 </w:t>
      </w:r>
      <w:r>
        <w:rPr>
          <w:rFonts w:hint="eastAsia" w:ascii="宋体" w:hAnsi="宋体" w:eastAsia="宋体" w:cs="宋体"/>
          <w:sz w:val="21"/>
          <w:szCs w:val="21"/>
          <w:lang w:val="zh-CN"/>
        </w:rPr>
        <w:t>“河南</w:t>
      </w:r>
      <w:r>
        <w:rPr>
          <w:rFonts w:hint="eastAsia" w:ascii="宋体" w:hAnsi="宋体" w:eastAsia="宋体" w:cs="宋体"/>
          <w:sz w:val="21"/>
          <w:szCs w:val="21"/>
        </w:rPr>
        <w:t>省政府采购合同融资</w:t>
      </w:r>
      <w:r>
        <w:rPr>
          <w:rFonts w:hint="eastAsia" w:ascii="宋体" w:hAnsi="宋体" w:eastAsia="宋体" w:cs="宋体"/>
          <w:sz w:val="21"/>
          <w:szCs w:val="21"/>
          <w:lang w:val="zh-CN"/>
        </w:rPr>
        <w:t>平台”</w:t>
      </w:r>
      <w:r>
        <w:rPr>
          <w:rFonts w:hint="eastAsia" w:ascii="宋体" w:hAnsi="宋体" w:eastAsia="宋体" w:cs="宋体"/>
          <w:sz w:val="21"/>
          <w:szCs w:val="21"/>
        </w:rPr>
        <w:t>查询</w:t>
      </w:r>
      <w:r>
        <w:rPr>
          <w:rFonts w:hint="eastAsia" w:ascii="宋体" w:hAnsi="宋体" w:eastAsia="宋体" w:cs="宋体"/>
          <w:sz w:val="21"/>
          <w:szCs w:val="21"/>
          <w:lang w:val="zh-CN"/>
        </w:rPr>
        <w:t>联系。</w:t>
      </w:r>
    </w:p>
    <w:p w14:paraId="289A646A">
      <w:pPr>
        <w:spacing w:after="120"/>
        <w:rPr>
          <w:rFonts w:ascii="宋体" w:hAnsi="宋体"/>
        </w:rPr>
      </w:pPr>
    </w:p>
    <w:p w14:paraId="529C53A3">
      <w:pPr>
        <w:spacing w:after="120"/>
        <w:rPr>
          <w:rFonts w:ascii="宋体" w:hAnsi="宋体"/>
        </w:rPr>
      </w:pPr>
    </w:p>
    <w:p w14:paraId="209D219E">
      <w:pPr>
        <w:spacing w:after="120"/>
        <w:rPr>
          <w:rFonts w:ascii="宋体" w:hAnsi="宋体"/>
        </w:rPr>
      </w:pPr>
    </w:p>
    <w:p w14:paraId="08654C98"/>
    <w:p w14:paraId="0457C400"/>
    <w:bookmarkEnd w:id="287"/>
    <w:p w14:paraId="7B703388"/>
    <w:sectPr>
      <w:pgSz w:w="11906" w:h="16838"/>
      <w:pgMar w:top="1134" w:right="1134"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0411302"/>
    </w:sdtPr>
    <w:sdtContent>
      <w:p w14:paraId="7611FC56">
        <w:pPr>
          <w:pStyle w:val="14"/>
          <w:jc w:val="right"/>
        </w:pPr>
        <w:r>
          <w:fldChar w:fldCharType="begin"/>
        </w:r>
        <w:r>
          <w:instrText xml:space="preserve">PAGE   \* MERGEFORMAT</w:instrText>
        </w:r>
        <w:r>
          <w:fldChar w:fldCharType="separate"/>
        </w:r>
        <w:r>
          <w:rPr>
            <w:lang w:val="zh-CN"/>
          </w:rPr>
          <w:t>25</w:t>
        </w:r>
        <w:r>
          <w:fldChar w:fldCharType="end"/>
        </w:r>
      </w:p>
    </w:sdtContent>
  </w:sdt>
  <w:p w14:paraId="09CE04A3">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YTM3ZTM5YjE5ZGRjYjU4NjM2OGQwMTgzZmFmYjIifQ=="/>
  </w:docVars>
  <w:rsids>
    <w:rsidRoot w:val="0075638D"/>
    <w:rsid w:val="00001F18"/>
    <w:rsid w:val="00002B01"/>
    <w:rsid w:val="000112FC"/>
    <w:rsid w:val="00012CA7"/>
    <w:rsid w:val="000152F8"/>
    <w:rsid w:val="0001656E"/>
    <w:rsid w:val="0002093D"/>
    <w:rsid w:val="00026960"/>
    <w:rsid w:val="000304A6"/>
    <w:rsid w:val="00030730"/>
    <w:rsid w:val="00030B81"/>
    <w:rsid w:val="00031F5C"/>
    <w:rsid w:val="00041A36"/>
    <w:rsid w:val="00044B8D"/>
    <w:rsid w:val="00047A20"/>
    <w:rsid w:val="00051F79"/>
    <w:rsid w:val="00065F3F"/>
    <w:rsid w:val="00066D36"/>
    <w:rsid w:val="000678A3"/>
    <w:rsid w:val="00071D19"/>
    <w:rsid w:val="00072D50"/>
    <w:rsid w:val="000733AE"/>
    <w:rsid w:val="00073491"/>
    <w:rsid w:val="00080063"/>
    <w:rsid w:val="00082E6D"/>
    <w:rsid w:val="00087964"/>
    <w:rsid w:val="00092BF5"/>
    <w:rsid w:val="000970E3"/>
    <w:rsid w:val="000971C4"/>
    <w:rsid w:val="000A046C"/>
    <w:rsid w:val="000B239D"/>
    <w:rsid w:val="000B24CF"/>
    <w:rsid w:val="000B391D"/>
    <w:rsid w:val="000B510B"/>
    <w:rsid w:val="000B5938"/>
    <w:rsid w:val="000C2A8D"/>
    <w:rsid w:val="000C6C1D"/>
    <w:rsid w:val="000D5D9F"/>
    <w:rsid w:val="000E2E93"/>
    <w:rsid w:val="00100E29"/>
    <w:rsid w:val="001079C5"/>
    <w:rsid w:val="00110833"/>
    <w:rsid w:val="00111457"/>
    <w:rsid w:val="0011247D"/>
    <w:rsid w:val="00116DB7"/>
    <w:rsid w:val="001223F2"/>
    <w:rsid w:val="0013041D"/>
    <w:rsid w:val="00131574"/>
    <w:rsid w:val="001323C9"/>
    <w:rsid w:val="00136B7C"/>
    <w:rsid w:val="00142FAE"/>
    <w:rsid w:val="001449D6"/>
    <w:rsid w:val="0015133F"/>
    <w:rsid w:val="00153488"/>
    <w:rsid w:val="00154C0F"/>
    <w:rsid w:val="00154CA2"/>
    <w:rsid w:val="001616E1"/>
    <w:rsid w:val="00165550"/>
    <w:rsid w:val="00166720"/>
    <w:rsid w:val="001733E1"/>
    <w:rsid w:val="00174E40"/>
    <w:rsid w:val="001750F9"/>
    <w:rsid w:val="0017680A"/>
    <w:rsid w:val="001816C4"/>
    <w:rsid w:val="00182657"/>
    <w:rsid w:val="001846A9"/>
    <w:rsid w:val="0019008C"/>
    <w:rsid w:val="00193993"/>
    <w:rsid w:val="00193E19"/>
    <w:rsid w:val="001A28FF"/>
    <w:rsid w:val="001A6C57"/>
    <w:rsid w:val="001A7201"/>
    <w:rsid w:val="001B1AE8"/>
    <w:rsid w:val="001B5ACF"/>
    <w:rsid w:val="001B731F"/>
    <w:rsid w:val="001C11EA"/>
    <w:rsid w:val="001C1C49"/>
    <w:rsid w:val="001C358B"/>
    <w:rsid w:val="001C47FF"/>
    <w:rsid w:val="001D2D62"/>
    <w:rsid w:val="001D712E"/>
    <w:rsid w:val="001D7C03"/>
    <w:rsid w:val="00201317"/>
    <w:rsid w:val="00204A14"/>
    <w:rsid w:val="0020675B"/>
    <w:rsid w:val="002103B7"/>
    <w:rsid w:val="002130B8"/>
    <w:rsid w:val="002205DB"/>
    <w:rsid w:val="00244054"/>
    <w:rsid w:val="00251455"/>
    <w:rsid w:val="002564A8"/>
    <w:rsid w:val="00256C20"/>
    <w:rsid w:val="00261F20"/>
    <w:rsid w:val="00264229"/>
    <w:rsid w:val="0026587A"/>
    <w:rsid w:val="002669A2"/>
    <w:rsid w:val="00267995"/>
    <w:rsid w:val="00267A84"/>
    <w:rsid w:val="00267AB3"/>
    <w:rsid w:val="00273004"/>
    <w:rsid w:val="00273887"/>
    <w:rsid w:val="00280E6B"/>
    <w:rsid w:val="00282C5B"/>
    <w:rsid w:val="00283332"/>
    <w:rsid w:val="00286981"/>
    <w:rsid w:val="00286DC7"/>
    <w:rsid w:val="002872A8"/>
    <w:rsid w:val="002933A8"/>
    <w:rsid w:val="00293AC5"/>
    <w:rsid w:val="002A092E"/>
    <w:rsid w:val="002B04E1"/>
    <w:rsid w:val="002B13DE"/>
    <w:rsid w:val="002B14D8"/>
    <w:rsid w:val="002B3D2F"/>
    <w:rsid w:val="002B6159"/>
    <w:rsid w:val="002C1926"/>
    <w:rsid w:val="002C5558"/>
    <w:rsid w:val="002C603A"/>
    <w:rsid w:val="002D41A2"/>
    <w:rsid w:val="002D4B73"/>
    <w:rsid w:val="002D79BB"/>
    <w:rsid w:val="002D7FF9"/>
    <w:rsid w:val="002F49A4"/>
    <w:rsid w:val="00303A39"/>
    <w:rsid w:val="0030793C"/>
    <w:rsid w:val="00307B6E"/>
    <w:rsid w:val="003106E3"/>
    <w:rsid w:val="00310E5F"/>
    <w:rsid w:val="0031709F"/>
    <w:rsid w:val="00323BE0"/>
    <w:rsid w:val="00324E6B"/>
    <w:rsid w:val="00324EEA"/>
    <w:rsid w:val="003300A9"/>
    <w:rsid w:val="00332BF8"/>
    <w:rsid w:val="00335566"/>
    <w:rsid w:val="0033674C"/>
    <w:rsid w:val="00337EBB"/>
    <w:rsid w:val="00342CAB"/>
    <w:rsid w:val="00351432"/>
    <w:rsid w:val="00352370"/>
    <w:rsid w:val="00360C53"/>
    <w:rsid w:val="0036775B"/>
    <w:rsid w:val="003718AA"/>
    <w:rsid w:val="00376580"/>
    <w:rsid w:val="00382FA0"/>
    <w:rsid w:val="00384729"/>
    <w:rsid w:val="00384D7F"/>
    <w:rsid w:val="00386747"/>
    <w:rsid w:val="003952EB"/>
    <w:rsid w:val="003A1F89"/>
    <w:rsid w:val="003B0A01"/>
    <w:rsid w:val="003B1A24"/>
    <w:rsid w:val="003B5D86"/>
    <w:rsid w:val="003C4AF8"/>
    <w:rsid w:val="003D292F"/>
    <w:rsid w:val="003D5C0F"/>
    <w:rsid w:val="003D7A32"/>
    <w:rsid w:val="003E2003"/>
    <w:rsid w:val="003E7B50"/>
    <w:rsid w:val="003F10BD"/>
    <w:rsid w:val="003F1583"/>
    <w:rsid w:val="003F2996"/>
    <w:rsid w:val="003F4FC7"/>
    <w:rsid w:val="003F783C"/>
    <w:rsid w:val="00400446"/>
    <w:rsid w:val="0040107E"/>
    <w:rsid w:val="0040467B"/>
    <w:rsid w:val="0041351E"/>
    <w:rsid w:val="00426412"/>
    <w:rsid w:val="0042768A"/>
    <w:rsid w:val="00462CEC"/>
    <w:rsid w:val="00473F50"/>
    <w:rsid w:val="0047604D"/>
    <w:rsid w:val="00480569"/>
    <w:rsid w:val="004824DB"/>
    <w:rsid w:val="0048392D"/>
    <w:rsid w:val="004868AF"/>
    <w:rsid w:val="00486F4B"/>
    <w:rsid w:val="00491675"/>
    <w:rsid w:val="00497FB6"/>
    <w:rsid w:val="004A216B"/>
    <w:rsid w:val="004A2390"/>
    <w:rsid w:val="004A2AA3"/>
    <w:rsid w:val="004A5F4C"/>
    <w:rsid w:val="004B345C"/>
    <w:rsid w:val="004C1498"/>
    <w:rsid w:val="004C5BB2"/>
    <w:rsid w:val="004D04FC"/>
    <w:rsid w:val="004D3A6F"/>
    <w:rsid w:val="004E6D14"/>
    <w:rsid w:val="004F2D4A"/>
    <w:rsid w:val="0050006A"/>
    <w:rsid w:val="0050222E"/>
    <w:rsid w:val="0050283D"/>
    <w:rsid w:val="00504B4B"/>
    <w:rsid w:val="00504EEB"/>
    <w:rsid w:val="0050751C"/>
    <w:rsid w:val="00510D92"/>
    <w:rsid w:val="005125B9"/>
    <w:rsid w:val="005174F5"/>
    <w:rsid w:val="0052182F"/>
    <w:rsid w:val="00521B96"/>
    <w:rsid w:val="005242F7"/>
    <w:rsid w:val="00530E9F"/>
    <w:rsid w:val="00532B33"/>
    <w:rsid w:val="0053779E"/>
    <w:rsid w:val="00541B72"/>
    <w:rsid w:val="00542FB7"/>
    <w:rsid w:val="0055034A"/>
    <w:rsid w:val="00551A4E"/>
    <w:rsid w:val="00552808"/>
    <w:rsid w:val="00555427"/>
    <w:rsid w:val="005601C1"/>
    <w:rsid w:val="005650C3"/>
    <w:rsid w:val="005661A0"/>
    <w:rsid w:val="00566F1D"/>
    <w:rsid w:val="005731D4"/>
    <w:rsid w:val="005757D9"/>
    <w:rsid w:val="00580324"/>
    <w:rsid w:val="00581531"/>
    <w:rsid w:val="00587F0B"/>
    <w:rsid w:val="00592C20"/>
    <w:rsid w:val="00594686"/>
    <w:rsid w:val="00597A93"/>
    <w:rsid w:val="005A38A2"/>
    <w:rsid w:val="005A538D"/>
    <w:rsid w:val="005B4C34"/>
    <w:rsid w:val="005B63A8"/>
    <w:rsid w:val="005B7D4F"/>
    <w:rsid w:val="005C33A4"/>
    <w:rsid w:val="005C44A1"/>
    <w:rsid w:val="005D5FCE"/>
    <w:rsid w:val="005D65AA"/>
    <w:rsid w:val="005D70B4"/>
    <w:rsid w:val="005E25DF"/>
    <w:rsid w:val="005E46E1"/>
    <w:rsid w:val="005E4979"/>
    <w:rsid w:val="005F3B24"/>
    <w:rsid w:val="005F5800"/>
    <w:rsid w:val="005F6EE4"/>
    <w:rsid w:val="00601B45"/>
    <w:rsid w:val="006115BB"/>
    <w:rsid w:val="006175C6"/>
    <w:rsid w:val="0062129F"/>
    <w:rsid w:val="00624BCA"/>
    <w:rsid w:val="0063043A"/>
    <w:rsid w:val="00631637"/>
    <w:rsid w:val="006326FD"/>
    <w:rsid w:val="006345AC"/>
    <w:rsid w:val="0063582A"/>
    <w:rsid w:val="0064068A"/>
    <w:rsid w:val="00640B5B"/>
    <w:rsid w:val="006439ED"/>
    <w:rsid w:val="00643F02"/>
    <w:rsid w:val="0065689A"/>
    <w:rsid w:val="0066148A"/>
    <w:rsid w:val="006633F2"/>
    <w:rsid w:val="00666EFD"/>
    <w:rsid w:val="00667B2D"/>
    <w:rsid w:val="00677635"/>
    <w:rsid w:val="00677AD5"/>
    <w:rsid w:val="00686C54"/>
    <w:rsid w:val="006871E5"/>
    <w:rsid w:val="00687D1F"/>
    <w:rsid w:val="00694B9A"/>
    <w:rsid w:val="00697266"/>
    <w:rsid w:val="00697F6C"/>
    <w:rsid w:val="006A1BA5"/>
    <w:rsid w:val="006A388D"/>
    <w:rsid w:val="006B38C2"/>
    <w:rsid w:val="006B72F6"/>
    <w:rsid w:val="006C3A60"/>
    <w:rsid w:val="006D1706"/>
    <w:rsid w:val="006D4FEF"/>
    <w:rsid w:val="006D5570"/>
    <w:rsid w:val="006D5C1E"/>
    <w:rsid w:val="006E412E"/>
    <w:rsid w:val="006E582D"/>
    <w:rsid w:val="006E6E2F"/>
    <w:rsid w:val="006F0F00"/>
    <w:rsid w:val="006F0FD7"/>
    <w:rsid w:val="006F37C8"/>
    <w:rsid w:val="006F3B9E"/>
    <w:rsid w:val="006F43BD"/>
    <w:rsid w:val="006F67EE"/>
    <w:rsid w:val="00700C38"/>
    <w:rsid w:val="007112C5"/>
    <w:rsid w:val="00713161"/>
    <w:rsid w:val="00732F24"/>
    <w:rsid w:val="007363FB"/>
    <w:rsid w:val="0073680B"/>
    <w:rsid w:val="0074045E"/>
    <w:rsid w:val="007415E3"/>
    <w:rsid w:val="00753BED"/>
    <w:rsid w:val="0075638D"/>
    <w:rsid w:val="0075706A"/>
    <w:rsid w:val="0075735C"/>
    <w:rsid w:val="00760035"/>
    <w:rsid w:val="00760F75"/>
    <w:rsid w:val="00763BBE"/>
    <w:rsid w:val="007664FB"/>
    <w:rsid w:val="00772323"/>
    <w:rsid w:val="0077268E"/>
    <w:rsid w:val="00772AAA"/>
    <w:rsid w:val="007805F1"/>
    <w:rsid w:val="007812B8"/>
    <w:rsid w:val="00786C56"/>
    <w:rsid w:val="00786F37"/>
    <w:rsid w:val="00790270"/>
    <w:rsid w:val="00796DD6"/>
    <w:rsid w:val="007A7928"/>
    <w:rsid w:val="007B5EF4"/>
    <w:rsid w:val="007C0610"/>
    <w:rsid w:val="007C0B4D"/>
    <w:rsid w:val="007D4AC2"/>
    <w:rsid w:val="007D5047"/>
    <w:rsid w:val="007D6287"/>
    <w:rsid w:val="007D6D09"/>
    <w:rsid w:val="007D7DD7"/>
    <w:rsid w:val="007E2344"/>
    <w:rsid w:val="007E3845"/>
    <w:rsid w:val="007E3E4A"/>
    <w:rsid w:val="007E6F21"/>
    <w:rsid w:val="008041AF"/>
    <w:rsid w:val="00804C7D"/>
    <w:rsid w:val="008073C2"/>
    <w:rsid w:val="00810797"/>
    <w:rsid w:val="008155B3"/>
    <w:rsid w:val="008212DE"/>
    <w:rsid w:val="00825016"/>
    <w:rsid w:val="00844B31"/>
    <w:rsid w:val="00847D8E"/>
    <w:rsid w:val="00853BDE"/>
    <w:rsid w:val="00857DDE"/>
    <w:rsid w:val="00865FE2"/>
    <w:rsid w:val="00866CDA"/>
    <w:rsid w:val="008733AF"/>
    <w:rsid w:val="008823C1"/>
    <w:rsid w:val="00882761"/>
    <w:rsid w:val="00884665"/>
    <w:rsid w:val="00891C4C"/>
    <w:rsid w:val="00891D97"/>
    <w:rsid w:val="008924FC"/>
    <w:rsid w:val="00892C37"/>
    <w:rsid w:val="008A6F04"/>
    <w:rsid w:val="008A7B35"/>
    <w:rsid w:val="008B2832"/>
    <w:rsid w:val="008C3DB9"/>
    <w:rsid w:val="008C6DC1"/>
    <w:rsid w:val="008E014D"/>
    <w:rsid w:val="008E01E2"/>
    <w:rsid w:val="008E0DED"/>
    <w:rsid w:val="008E4B86"/>
    <w:rsid w:val="008E5AE6"/>
    <w:rsid w:val="008E75AE"/>
    <w:rsid w:val="008F32F3"/>
    <w:rsid w:val="008F4DBC"/>
    <w:rsid w:val="0090142C"/>
    <w:rsid w:val="0090280F"/>
    <w:rsid w:val="00905546"/>
    <w:rsid w:val="00907792"/>
    <w:rsid w:val="009100BB"/>
    <w:rsid w:val="0092293E"/>
    <w:rsid w:val="00924D50"/>
    <w:rsid w:val="009378C7"/>
    <w:rsid w:val="00937E88"/>
    <w:rsid w:val="00937EF1"/>
    <w:rsid w:val="00942850"/>
    <w:rsid w:val="00942EB1"/>
    <w:rsid w:val="00943F4D"/>
    <w:rsid w:val="0094581E"/>
    <w:rsid w:val="00954233"/>
    <w:rsid w:val="00954333"/>
    <w:rsid w:val="00962823"/>
    <w:rsid w:val="00962EB9"/>
    <w:rsid w:val="0096540B"/>
    <w:rsid w:val="00966ECC"/>
    <w:rsid w:val="0097010E"/>
    <w:rsid w:val="0097180C"/>
    <w:rsid w:val="009739D0"/>
    <w:rsid w:val="00993766"/>
    <w:rsid w:val="00994452"/>
    <w:rsid w:val="009A0181"/>
    <w:rsid w:val="009A0E4A"/>
    <w:rsid w:val="009B0AE5"/>
    <w:rsid w:val="009B26F3"/>
    <w:rsid w:val="009C14BB"/>
    <w:rsid w:val="009C43AB"/>
    <w:rsid w:val="009C4A81"/>
    <w:rsid w:val="009D44CE"/>
    <w:rsid w:val="009E48D9"/>
    <w:rsid w:val="009E6BC4"/>
    <w:rsid w:val="009E7A8B"/>
    <w:rsid w:val="009F4F34"/>
    <w:rsid w:val="00A034DD"/>
    <w:rsid w:val="00A10CA9"/>
    <w:rsid w:val="00A134EB"/>
    <w:rsid w:val="00A13954"/>
    <w:rsid w:val="00A157B0"/>
    <w:rsid w:val="00A15F0C"/>
    <w:rsid w:val="00A20A13"/>
    <w:rsid w:val="00A21F9E"/>
    <w:rsid w:val="00A26556"/>
    <w:rsid w:val="00A27450"/>
    <w:rsid w:val="00A30B21"/>
    <w:rsid w:val="00A30FAA"/>
    <w:rsid w:val="00A313CB"/>
    <w:rsid w:val="00A318C6"/>
    <w:rsid w:val="00A32E6B"/>
    <w:rsid w:val="00A40BD4"/>
    <w:rsid w:val="00A42460"/>
    <w:rsid w:val="00A470BC"/>
    <w:rsid w:val="00A47456"/>
    <w:rsid w:val="00A527CA"/>
    <w:rsid w:val="00A608FE"/>
    <w:rsid w:val="00A652AA"/>
    <w:rsid w:val="00A70582"/>
    <w:rsid w:val="00A72F2F"/>
    <w:rsid w:val="00A76A32"/>
    <w:rsid w:val="00A83A19"/>
    <w:rsid w:val="00A83AB4"/>
    <w:rsid w:val="00A866E5"/>
    <w:rsid w:val="00A87123"/>
    <w:rsid w:val="00A922BB"/>
    <w:rsid w:val="00A934D8"/>
    <w:rsid w:val="00AA2145"/>
    <w:rsid w:val="00AA5505"/>
    <w:rsid w:val="00AA6373"/>
    <w:rsid w:val="00AB5534"/>
    <w:rsid w:val="00AB7C96"/>
    <w:rsid w:val="00AC129B"/>
    <w:rsid w:val="00AC5069"/>
    <w:rsid w:val="00AD604A"/>
    <w:rsid w:val="00AD74D8"/>
    <w:rsid w:val="00AE02F1"/>
    <w:rsid w:val="00AE1F1C"/>
    <w:rsid w:val="00AE2DD4"/>
    <w:rsid w:val="00AE3D9D"/>
    <w:rsid w:val="00AE3E88"/>
    <w:rsid w:val="00AE4E84"/>
    <w:rsid w:val="00AE6626"/>
    <w:rsid w:val="00AF1E58"/>
    <w:rsid w:val="00AF2362"/>
    <w:rsid w:val="00AF23C1"/>
    <w:rsid w:val="00AF2F60"/>
    <w:rsid w:val="00AF4DC4"/>
    <w:rsid w:val="00AF65A7"/>
    <w:rsid w:val="00B015D3"/>
    <w:rsid w:val="00B0323E"/>
    <w:rsid w:val="00B101A8"/>
    <w:rsid w:val="00B12653"/>
    <w:rsid w:val="00B255B7"/>
    <w:rsid w:val="00B303FE"/>
    <w:rsid w:val="00B31939"/>
    <w:rsid w:val="00B31A40"/>
    <w:rsid w:val="00B32626"/>
    <w:rsid w:val="00B50B60"/>
    <w:rsid w:val="00B5478D"/>
    <w:rsid w:val="00B54DFD"/>
    <w:rsid w:val="00B745FC"/>
    <w:rsid w:val="00B76469"/>
    <w:rsid w:val="00B827FF"/>
    <w:rsid w:val="00B831A3"/>
    <w:rsid w:val="00B863A5"/>
    <w:rsid w:val="00B87275"/>
    <w:rsid w:val="00B92107"/>
    <w:rsid w:val="00B952F8"/>
    <w:rsid w:val="00BA2968"/>
    <w:rsid w:val="00BB062A"/>
    <w:rsid w:val="00BB7E3E"/>
    <w:rsid w:val="00BD36E3"/>
    <w:rsid w:val="00BD40E0"/>
    <w:rsid w:val="00BD5245"/>
    <w:rsid w:val="00BD5A69"/>
    <w:rsid w:val="00BE56F6"/>
    <w:rsid w:val="00BE6D99"/>
    <w:rsid w:val="00BE6E85"/>
    <w:rsid w:val="00BF0FB4"/>
    <w:rsid w:val="00BF1808"/>
    <w:rsid w:val="00C109B6"/>
    <w:rsid w:val="00C13135"/>
    <w:rsid w:val="00C134F5"/>
    <w:rsid w:val="00C21AEF"/>
    <w:rsid w:val="00C22C59"/>
    <w:rsid w:val="00C23646"/>
    <w:rsid w:val="00C339EF"/>
    <w:rsid w:val="00C37EDB"/>
    <w:rsid w:val="00C40743"/>
    <w:rsid w:val="00C5226E"/>
    <w:rsid w:val="00C534BD"/>
    <w:rsid w:val="00C56B5D"/>
    <w:rsid w:val="00C57681"/>
    <w:rsid w:val="00C61800"/>
    <w:rsid w:val="00C70BA9"/>
    <w:rsid w:val="00C74327"/>
    <w:rsid w:val="00C8622A"/>
    <w:rsid w:val="00C91D69"/>
    <w:rsid w:val="00C97654"/>
    <w:rsid w:val="00C977D1"/>
    <w:rsid w:val="00CA1CEB"/>
    <w:rsid w:val="00CA2344"/>
    <w:rsid w:val="00CA37B0"/>
    <w:rsid w:val="00CA5151"/>
    <w:rsid w:val="00CB1A53"/>
    <w:rsid w:val="00CB43DE"/>
    <w:rsid w:val="00CD619B"/>
    <w:rsid w:val="00CD6D75"/>
    <w:rsid w:val="00CF62AB"/>
    <w:rsid w:val="00CF6FB6"/>
    <w:rsid w:val="00D0091C"/>
    <w:rsid w:val="00D0691C"/>
    <w:rsid w:val="00D21053"/>
    <w:rsid w:val="00D21B5A"/>
    <w:rsid w:val="00D24F38"/>
    <w:rsid w:val="00D27EB9"/>
    <w:rsid w:val="00D311BD"/>
    <w:rsid w:val="00D33A0E"/>
    <w:rsid w:val="00D47E3A"/>
    <w:rsid w:val="00D51ADA"/>
    <w:rsid w:val="00D62184"/>
    <w:rsid w:val="00D66893"/>
    <w:rsid w:val="00D744E0"/>
    <w:rsid w:val="00D75CAD"/>
    <w:rsid w:val="00D93652"/>
    <w:rsid w:val="00D93D38"/>
    <w:rsid w:val="00DA3B0E"/>
    <w:rsid w:val="00DB1BB0"/>
    <w:rsid w:val="00DB1F7D"/>
    <w:rsid w:val="00DB397C"/>
    <w:rsid w:val="00DB7597"/>
    <w:rsid w:val="00DC5679"/>
    <w:rsid w:val="00DC68F8"/>
    <w:rsid w:val="00DD1D56"/>
    <w:rsid w:val="00DD3347"/>
    <w:rsid w:val="00DD4C7D"/>
    <w:rsid w:val="00DE00B5"/>
    <w:rsid w:val="00DE10EA"/>
    <w:rsid w:val="00DE6B7F"/>
    <w:rsid w:val="00DF0D68"/>
    <w:rsid w:val="00DF3D95"/>
    <w:rsid w:val="00DF453A"/>
    <w:rsid w:val="00DF6303"/>
    <w:rsid w:val="00E002D5"/>
    <w:rsid w:val="00E0296B"/>
    <w:rsid w:val="00E03CBE"/>
    <w:rsid w:val="00E0515A"/>
    <w:rsid w:val="00E07733"/>
    <w:rsid w:val="00E12C6B"/>
    <w:rsid w:val="00E16884"/>
    <w:rsid w:val="00E22556"/>
    <w:rsid w:val="00E22920"/>
    <w:rsid w:val="00E247F4"/>
    <w:rsid w:val="00E31ECD"/>
    <w:rsid w:val="00E33364"/>
    <w:rsid w:val="00E40013"/>
    <w:rsid w:val="00E535C8"/>
    <w:rsid w:val="00E6628E"/>
    <w:rsid w:val="00E7072A"/>
    <w:rsid w:val="00E712CC"/>
    <w:rsid w:val="00E82213"/>
    <w:rsid w:val="00E84B91"/>
    <w:rsid w:val="00E86FFC"/>
    <w:rsid w:val="00E8796C"/>
    <w:rsid w:val="00E87E9A"/>
    <w:rsid w:val="00E91E0C"/>
    <w:rsid w:val="00E945CB"/>
    <w:rsid w:val="00EA031D"/>
    <w:rsid w:val="00EA667D"/>
    <w:rsid w:val="00EA674A"/>
    <w:rsid w:val="00EA6993"/>
    <w:rsid w:val="00EB11A6"/>
    <w:rsid w:val="00EB14CA"/>
    <w:rsid w:val="00EB714A"/>
    <w:rsid w:val="00ED1A37"/>
    <w:rsid w:val="00ED31BC"/>
    <w:rsid w:val="00ED7EE2"/>
    <w:rsid w:val="00EE6185"/>
    <w:rsid w:val="00EE6A3C"/>
    <w:rsid w:val="00EE704F"/>
    <w:rsid w:val="00EF3E17"/>
    <w:rsid w:val="00EF4331"/>
    <w:rsid w:val="00EF64DD"/>
    <w:rsid w:val="00F0253D"/>
    <w:rsid w:val="00F06B76"/>
    <w:rsid w:val="00F13D1A"/>
    <w:rsid w:val="00F17B03"/>
    <w:rsid w:val="00F20CDF"/>
    <w:rsid w:val="00F23CE2"/>
    <w:rsid w:val="00F26FF5"/>
    <w:rsid w:val="00F27FB9"/>
    <w:rsid w:val="00F345AF"/>
    <w:rsid w:val="00F407E5"/>
    <w:rsid w:val="00F434DF"/>
    <w:rsid w:val="00F50D8C"/>
    <w:rsid w:val="00F567DA"/>
    <w:rsid w:val="00F65717"/>
    <w:rsid w:val="00F77F07"/>
    <w:rsid w:val="00F805BC"/>
    <w:rsid w:val="00F8372E"/>
    <w:rsid w:val="00F8374E"/>
    <w:rsid w:val="00F91124"/>
    <w:rsid w:val="00F91E4D"/>
    <w:rsid w:val="00FA33BF"/>
    <w:rsid w:val="00FA4139"/>
    <w:rsid w:val="00FA6EFB"/>
    <w:rsid w:val="00FC048C"/>
    <w:rsid w:val="00FC065C"/>
    <w:rsid w:val="00FD0686"/>
    <w:rsid w:val="00FD45AD"/>
    <w:rsid w:val="00FF0BDB"/>
    <w:rsid w:val="00FF2DDF"/>
    <w:rsid w:val="00FF6E38"/>
    <w:rsid w:val="0182524D"/>
    <w:rsid w:val="02A14397"/>
    <w:rsid w:val="046425C9"/>
    <w:rsid w:val="07824A87"/>
    <w:rsid w:val="09B93488"/>
    <w:rsid w:val="0B2B4ACB"/>
    <w:rsid w:val="0C7D40B3"/>
    <w:rsid w:val="0CA62243"/>
    <w:rsid w:val="0D1F29DE"/>
    <w:rsid w:val="0E163201"/>
    <w:rsid w:val="100C3750"/>
    <w:rsid w:val="15532609"/>
    <w:rsid w:val="161C14DA"/>
    <w:rsid w:val="161C7FDC"/>
    <w:rsid w:val="16B9038D"/>
    <w:rsid w:val="16B92E97"/>
    <w:rsid w:val="1AB743E1"/>
    <w:rsid w:val="1BB36443"/>
    <w:rsid w:val="1D4961E3"/>
    <w:rsid w:val="1D5726AE"/>
    <w:rsid w:val="1DCF3350"/>
    <w:rsid w:val="1EFD2558"/>
    <w:rsid w:val="1FA45952"/>
    <w:rsid w:val="21630A8B"/>
    <w:rsid w:val="22770124"/>
    <w:rsid w:val="277364A4"/>
    <w:rsid w:val="277416EF"/>
    <w:rsid w:val="2CC118F2"/>
    <w:rsid w:val="301D46E4"/>
    <w:rsid w:val="30B57A12"/>
    <w:rsid w:val="335214F5"/>
    <w:rsid w:val="33A75631"/>
    <w:rsid w:val="38FB262F"/>
    <w:rsid w:val="3CBB45AF"/>
    <w:rsid w:val="3D9B6D2A"/>
    <w:rsid w:val="3FA246E0"/>
    <w:rsid w:val="40784B05"/>
    <w:rsid w:val="43243AB5"/>
    <w:rsid w:val="43312036"/>
    <w:rsid w:val="447C7CC1"/>
    <w:rsid w:val="4872763D"/>
    <w:rsid w:val="4AB60A35"/>
    <w:rsid w:val="4DA70238"/>
    <w:rsid w:val="50AF0E99"/>
    <w:rsid w:val="51351F91"/>
    <w:rsid w:val="53AA44C3"/>
    <w:rsid w:val="565A65BB"/>
    <w:rsid w:val="573240C8"/>
    <w:rsid w:val="57A113C2"/>
    <w:rsid w:val="589866DF"/>
    <w:rsid w:val="59FB5FD3"/>
    <w:rsid w:val="5B0F5D9A"/>
    <w:rsid w:val="5CC11F40"/>
    <w:rsid w:val="61581B1D"/>
    <w:rsid w:val="63C143B7"/>
    <w:rsid w:val="64557BF6"/>
    <w:rsid w:val="66D22B65"/>
    <w:rsid w:val="67B13585"/>
    <w:rsid w:val="6B506866"/>
    <w:rsid w:val="6BC6636D"/>
    <w:rsid w:val="75F25C45"/>
    <w:rsid w:val="761B2932"/>
    <w:rsid w:val="76B64DFB"/>
    <w:rsid w:val="7AD71133"/>
    <w:rsid w:val="7C8C3C18"/>
    <w:rsid w:val="7D0E1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36"/>
    <w:qFormat/>
    <w:uiPriority w:val="9"/>
    <w:pPr>
      <w:keepNext/>
      <w:keepLines/>
      <w:spacing w:line="600" w:lineRule="auto"/>
    </w:pPr>
    <w:rPr>
      <w:kern w:val="44"/>
      <w:sz w:val="44"/>
      <w:szCs w:val="44"/>
    </w:rPr>
  </w:style>
  <w:style w:type="paragraph" w:styleId="4">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7">
    <w:name w:val="annotation text"/>
    <w:basedOn w:val="1"/>
    <w:link w:val="40"/>
    <w:qFormat/>
    <w:uiPriority w:val="0"/>
    <w:pPr>
      <w:jc w:val="left"/>
    </w:pPr>
    <w:rPr>
      <w:rFonts w:ascii="Calibri" w:hAnsi="Calibri"/>
      <w:szCs w:val="22"/>
    </w:rPr>
  </w:style>
  <w:style w:type="paragraph" w:styleId="8">
    <w:name w:val="Body Text"/>
    <w:basedOn w:val="1"/>
    <w:link w:val="34"/>
    <w:semiHidden/>
    <w:unhideWhenUsed/>
    <w:qFormat/>
    <w:uiPriority w:val="99"/>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next w:val="2"/>
    <w:qFormat/>
    <w:uiPriority w:val="0"/>
    <w:rPr>
      <w:rFonts w:ascii="宋体" w:hAnsi="Courier New"/>
      <w:kern w:val="0"/>
      <w:sz w:val="20"/>
      <w:szCs w:val="21"/>
    </w:rPr>
  </w:style>
  <w:style w:type="paragraph" w:styleId="12">
    <w:name w:val="Date"/>
    <w:basedOn w:val="1"/>
    <w:next w:val="1"/>
    <w:link w:val="95"/>
    <w:qFormat/>
    <w:uiPriority w:val="0"/>
    <w:rPr>
      <w:sz w:val="28"/>
      <w:szCs w:val="20"/>
    </w:rPr>
  </w:style>
  <w:style w:type="paragraph" w:styleId="13">
    <w:name w:val="Balloon Text"/>
    <w:basedOn w:val="1"/>
    <w:link w:val="94"/>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9344"/>
      </w:tabs>
      <w:spacing w:line="480" w:lineRule="auto"/>
    </w:pPr>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w:basedOn w:val="8"/>
    <w:link w:val="35"/>
    <w:semiHidden/>
    <w:unhideWhenUsed/>
    <w:qFormat/>
    <w:uiPriority w:val="99"/>
    <w:pPr>
      <w:ind w:firstLine="420" w:firstLineChars="100"/>
    </w:pPr>
  </w:style>
  <w:style w:type="paragraph" w:styleId="20">
    <w:name w:val="Body Text First Indent 2"/>
    <w:basedOn w:val="9"/>
    <w:qFormat/>
    <w:uiPriority w:val="0"/>
    <w:pPr>
      <w:ind w:firstLine="420" w:firstLineChars="200"/>
    </w:p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1F3149"/>
      <w:u w:val="none"/>
    </w:rPr>
  </w:style>
  <w:style w:type="character" w:styleId="26">
    <w:name w:val="HTML Definition"/>
    <w:basedOn w:val="23"/>
    <w:semiHidden/>
    <w:unhideWhenUsed/>
    <w:qFormat/>
    <w:uiPriority w:val="99"/>
    <w:rPr>
      <w:i/>
      <w:iCs/>
    </w:rPr>
  </w:style>
  <w:style w:type="character" w:styleId="27">
    <w:name w:val="Hyperlink"/>
    <w:basedOn w:val="23"/>
    <w:unhideWhenUsed/>
    <w:qFormat/>
    <w:uiPriority w:val="99"/>
    <w:rPr>
      <w:color w:val="0563C1" w:themeColor="hyperlink"/>
      <w:u w:val="single"/>
      <w14:textFill>
        <w14:solidFill>
          <w14:schemeClr w14:val="hlink"/>
        </w14:solidFill>
      </w14:textFill>
    </w:rPr>
  </w:style>
  <w:style w:type="character" w:styleId="28">
    <w:name w:val="HTML Code"/>
    <w:basedOn w:val="23"/>
    <w:semiHidden/>
    <w:unhideWhenUsed/>
    <w:qFormat/>
    <w:uiPriority w:val="99"/>
    <w:rPr>
      <w:rFonts w:hint="default" w:ascii="Consolas" w:hAnsi="Consolas" w:eastAsia="Consolas" w:cs="Consolas"/>
      <w:color w:val="C7254E"/>
      <w:sz w:val="21"/>
      <w:szCs w:val="21"/>
      <w:shd w:val="clear" w:color="auto" w:fill="F9F2F4"/>
    </w:rPr>
  </w:style>
  <w:style w:type="character" w:styleId="29">
    <w:name w:val="HTML Keyboard"/>
    <w:basedOn w:val="23"/>
    <w:semiHidden/>
    <w:unhideWhenUsed/>
    <w:qFormat/>
    <w:uiPriority w:val="99"/>
    <w:rPr>
      <w:rFonts w:ascii="Consolas" w:hAnsi="Consolas" w:eastAsia="Consolas" w:cs="Consolas"/>
      <w:color w:val="FFFFFF"/>
      <w:sz w:val="21"/>
      <w:szCs w:val="21"/>
      <w:shd w:val="clear" w:color="auto" w:fill="333333"/>
    </w:rPr>
  </w:style>
  <w:style w:type="character" w:styleId="30">
    <w:name w:val="HTML Sample"/>
    <w:basedOn w:val="23"/>
    <w:semiHidden/>
    <w:unhideWhenUsed/>
    <w:qFormat/>
    <w:uiPriority w:val="99"/>
    <w:rPr>
      <w:rFonts w:hint="default" w:ascii="Consolas" w:hAnsi="Consolas" w:eastAsia="Consolas" w:cs="Consolas"/>
      <w:sz w:val="21"/>
      <w:szCs w:val="21"/>
    </w:rPr>
  </w:style>
  <w:style w:type="paragraph" w:customStyle="1" w:styleId="31">
    <w:name w:val="段"/>
    <w:next w:val="1"/>
    <w:qFormat/>
    <w:uiPriority w:val="0"/>
    <w:pPr>
      <w:autoSpaceDE w:val="0"/>
      <w:autoSpaceDN w:val="0"/>
      <w:ind w:firstLine="200" w:firstLineChars="200"/>
      <w:jc w:val="both"/>
    </w:pPr>
    <w:rPr>
      <w:rFonts w:ascii="宋体" w:hAnsi="Calibri" w:eastAsia="Times New Roman" w:cs="Times New Roman"/>
      <w:sz w:val="21"/>
      <w:lang w:val="en-US" w:eastAsia="zh-CN" w:bidi="ar-SA"/>
    </w:rPr>
  </w:style>
  <w:style w:type="character" w:customStyle="1" w:styleId="32">
    <w:name w:val="页眉 Char"/>
    <w:basedOn w:val="23"/>
    <w:link w:val="15"/>
    <w:qFormat/>
    <w:uiPriority w:val="99"/>
    <w:rPr>
      <w:sz w:val="18"/>
      <w:szCs w:val="18"/>
    </w:rPr>
  </w:style>
  <w:style w:type="character" w:customStyle="1" w:styleId="33">
    <w:name w:val="页脚 Char"/>
    <w:basedOn w:val="23"/>
    <w:link w:val="14"/>
    <w:qFormat/>
    <w:uiPriority w:val="99"/>
    <w:rPr>
      <w:sz w:val="18"/>
      <w:szCs w:val="18"/>
    </w:rPr>
  </w:style>
  <w:style w:type="character" w:customStyle="1" w:styleId="34">
    <w:name w:val="正文文本 Char"/>
    <w:basedOn w:val="23"/>
    <w:link w:val="8"/>
    <w:semiHidden/>
    <w:qFormat/>
    <w:uiPriority w:val="99"/>
    <w:rPr>
      <w:rFonts w:ascii="Times New Roman" w:hAnsi="Times New Roman" w:eastAsia="宋体" w:cs="Times New Roman"/>
      <w:szCs w:val="24"/>
    </w:rPr>
  </w:style>
  <w:style w:type="character" w:customStyle="1" w:styleId="35">
    <w:name w:val="正文首行缩进 Char"/>
    <w:basedOn w:val="34"/>
    <w:link w:val="19"/>
    <w:semiHidden/>
    <w:qFormat/>
    <w:uiPriority w:val="99"/>
    <w:rPr>
      <w:rFonts w:ascii="Times New Roman" w:hAnsi="Times New Roman" w:eastAsia="宋体" w:cs="Times New Roman"/>
      <w:szCs w:val="24"/>
    </w:rPr>
  </w:style>
  <w:style w:type="character" w:customStyle="1" w:styleId="36">
    <w:name w:val="标题 1 Char"/>
    <w:basedOn w:val="23"/>
    <w:link w:val="2"/>
    <w:qFormat/>
    <w:uiPriority w:val="9"/>
    <w:rPr>
      <w:rFonts w:ascii="Times New Roman" w:hAnsi="Times New Roman" w:eastAsia="宋体" w:cs="Times New Roman"/>
      <w:b/>
      <w:bCs/>
      <w:kern w:val="44"/>
      <w:sz w:val="44"/>
      <w:szCs w:val="44"/>
    </w:rPr>
  </w:style>
  <w:style w:type="character" w:customStyle="1" w:styleId="37">
    <w:name w:val="标题 3 Char"/>
    <w:basedOn w:val="23"/>
    <w:link w:val="5"/>
    <w:semiHidden/>
    <w:qFormat/>
    <w:uiPriority w:val="9"/>
    <w:rPr>
      <w:rFonts w:ascii="Times New Roman" w:hAnsi="Times New Roman" w:eastAsia="宋体" w:cs="Times New Roman"/>
      <w:b/>
      <w:bCs/>
      <w:sz w:val="32"/>
      <w:szCs w:val="32"/>
    </w:rPr>
  </w:style>
  <w:style w:type="character" w:customStyle="1" w:styleId="38">
    <w:name w:val="标题 4 Char"/>
    <w:basedOn w:val="23"/>
    <w:link w:val="6"/>
    <w:semiHidden/>
    <w:qFormat/>
    <w:uiPriority w:val="9"/>
    <w:rPr>
      <w:rFonts w:asciiTheme="majorHAnsi" w:hAnsiTheme="majorHAnsi" w:eastAsiaTheme="majorEastAsia" w:cstheme="majorBidi"/>
      <w:b/>
      <w:bCs/>
      <w:sz w:val="28"/>
      <w:szCs w:val="28"/>
    </w:rPr>
  </w:style>
  <w:style w:type="character" w:customStyle="1" w:styleId="39">
    <w:name w:val="标题 2 Char"/>
    <w:basedOn w:val="23"/>
    <w:link w:val="4"/>
    <w:qFormat/>
    <w:uiPriority w:val="9"/>
    <w:rPr>
      <w:rFonts w:asciiTheme="majorHAnsi" w:hAnsiTheme="majorHAnsi" w:eastAsiaTheme="majorEastAsia" w:cstheme="majorBidi"/>
      <w:b/>
      <w:bCs/>
      <w:sz w:val="32"/>
      <w:szCs w:val="32"/>
    </w:rPr>
  </w:style>
  <w:style w:type="character" w:customStyle="1" w:styleId="40">
    <w:name w:val="批注文字 Char"/>
    <w:basedOn w:val="23"/>
    <w:link w:val="7"/>
    <w:qFormat/>
    <w:uiPriority w:val="0"/>
    <w:rPr>
      <w:rFonts w:ascii="Calibri" w:hAnsi="Calibri" w:eastAsia="宋体" w:cs="Times New Roman"/>
    </w:rPr>
  </w:style>
  <w:style w:type="paragraph" w:customStyle="1" w:styleId="41">
    <w:name w:val="Body text|3"/>
    <w:basedOn w:val="1"/>
    <w:qFormat/>
    <w:uiPriority w:val="0"/>
    <w:pPr>
      <w:spacing w:after="240"/>
      <w:jc w:val="center"/>
    </w:pPr>
    <w:rPr>
      <w:rFonts w:ascii="宋体" w:hAnsi="宋体" w:cs="宋体"/>
      <w:sz w:val="40"/>
      <w:szCs w:val="40"/>
      <w:lang w:val="zh-TW" w:eastAsia="zh-TW" w:bidi="zh-TW"/>
    </w:rPr>
  </w:style>
  <w:style w:type="character" w:customStyle="1" w:styleId="42">
    <w:name w:val="未处理的提及1"/>
    <w:basedOn w:val="23"/>
    <w:semiHidden/>
    <w:unhideWhenUsed/>
    <w:qFormat/>
    <w:uiPriority w:val="99"/>
    <w:rPr>
      <w:color w:val="605E5C"/>
      <w:shd w:val="clear" w:color="auto" w:fill="E1DFDD"/>
    </w:rPr>
  </w:style>
  <w:style w:type="character" w:customStyle="1" w:styleId="43">
    <w:name w:val="未处理的提及2"/>
    <w:basedOn w:val="23"/>
    <w:semiHidden/>
    <w:unhideWhenUsed/>
    <w:qFormat/>
    <w:uiPriority w:val="99"/>
    <w:rPr>
      <w:color w:val="605E5C"/>
      <w:shd w:val="clear" w:color="auto" w:fill="E1DFDD"/>
    </w:rPr>
  </w:style>
  <w:style w:type="character" w:customStyle="1" w:styleId="44">
    <w:name w:val="未处理的提及3"/>
    <w:basedOn w:val="23"/>
    <w:semiHidden/>
    <w:unhideWhenUsed/>
    <w:qFormat/>
    <w:uiPriority w:val="99"/>
    <w:rPr>
      <w:color w:val="605E5C"/>
      <w:shd w:val="clear" w:color="auto" w:fill="E1DFDD"/>
    </w:rPr>
  </w:style>
  <w:style w:type="table" w:customStyle="1" w:styleId="45">
    <w:name w:val="网格型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color-yellow"/>
    <w:basedOn w:val="23"/>
    <w:qFormat/>
    <w:uiPriority w:val="0"/>
    <w:rPr>
      <w:color w:val="FAAD14"/>
      <w:sz w:val="18"/>
      <w:szCs w:val="18"/>
      <w:bdr w:val="single" w:color="FAAD14" w:sz="6" w:space="0"/>
    </w:rPr>
  </w:style>
  <w:style w:type="character" w:customStyle="1" w:styleId="47">
    <w:name w:val="color-yellow1"/>
    <w:basedOn w:val="23"/>
    <w:qFormat/>
    <w:uiPriority w:val="0"/>
    <w:rPr>
      <w:color w:val="FAAD14"/>
      <w:sz w:val="18"/>
      <w:szCs w:val="18"/>
      <w:bdr w:val="single" w:color="FAAD14" w:sz="6" w:space="0"/>
    </w:rPr>
  </w:style>
  <w:style w:type="character" w:customStyle="1" w:styleId="48">
    <w:name w:val="icon_xglc"/>
    <w:basedOn w:val="23"/>
    <w:qFormat/>
    <w:uiPriority w:val="0"/>
  </w:style>
  <w:style w:type="character" w:customStyle="1" w:styleId="49">
    <w:name w:val="l_6"/>
    <w:basedOn w:val="23"/>
    <w:qFormat/>
    <w:uiPriority w:val="0"/>
  </w:style>
  <w:style w:type="character" w:customStyle="1" w:styleId="50">
    <w:name w:val="l_13"/>
    <w:basedOn w:val="23"/>
    <w:qFormat/>
    <w:uiPriority w:val="0"/>
  </w:style>
  <w:style w:type="character" w:customStyle="1" w:styleId="51">
    <w:name w:val="m-text"/>
    <w:basedOn w:val="23"/>
    <w:qFormat/>
    <w:uiPriority w:val="0"/>
  </w:style>
  <w:style w:type="character" w:customStyle="1" w:styleId="52">
    <w:name w:val="l_14"/>
    <w:basedOn w:val="23"/>
    <w:qFormat/>
    <w:uiPriority w:val="0"/>
  </w:style>
  <w:style w:type="character" w:customStyle="1" w:styleId="53">
    <w:name w:val="l_10"/>
    <w:basedOn w:val="23"/>
    <w:qFormat/>
    <w:uiPriority w:val="0"/>
  </w:style>
  <w:style w:type="character" w:customStyle="1" w:styleId="54">
    <w:name w:val="l_101"/>
    <w:basedOn w:val="23"/>
    <w:qFormat/>
    <w:uiPriority w:val="0"/>
  </w:style>
  <w:style w:type="character" w:customStyle="1" w:styleId="55">
    <w:name w:val="l_2"/>
    <w:basedOn w:val="23"/>
    <w:qFormat/>
    <w:uiPriority w:val="0"/>
  </w:style>
  <w:style w:type="character" w:customStyle="1" w:styleId="56">
    <w:name w:val="l_21"/>
    <w:basedOn w:val="23"/>
    <w:qFormat/>
    <w:uiPriority w:val="0"/>
  </w:style>
  <w:style w:type="character" w:customStyle="1" w:styleId="57">
    <w:name w:val="color-blue"/>
    <w:basedOn w:val="23"/>
    <w:qFormat/>
    <w:uiPriority w:val="0"/>
    <w:rPr>
      <w:color w:val="1890FF"/>
      <w:sz w:val="18"/>
      <w:szCs w:val="18"/>
      <w:bdr w:val="single" w:color="1890FF" w:sz="6" w:space="0"/>
    </w:rPr>
  </w:style>
  <w:style w:type="character" w:customStyle="1" w:styleId="58">
    <w:name w:val="icon_lzrz"/>
    <w:basedOn w:val="23"/>
    <w:qFormat/>
    <w:uiPriority w:val="0"/>
  </w:style>
  <w:style w:type="character" w:customStyle="1" w:styleId="59">
    <w:name w:val="icon_cxkcyry"/>
    <w:basedOn w:val="23"/>
    <w:qFormat/>
    <w:uiPriority w:val="0"/>
  </w:style>
  <w:style w:type="character" w:customStyle="1" w:styleId="60">
    <w:name w:val="l_0"/>
    <w:basedOn w:val="23"/>
    <w:qFormat/>
    <w:uiPriority w:val="0"/>
  </w:style>
  <w:style w:type="character" w:customStyle="1" w:styleId="61">
    <w:name w:val="l_8"/>
    <w:basedOn w:val="23"/>
    <w:qFormat/>
    <w:uiPriority w:val="0"/>
  </w:style>
  <w:style w:type="character" w:customStyle="1" w:styleId="62">
    <w:name w:val="l_81"/>
    <w:basedOn w:val="23"/>
    <w:qFormat/>
    <w:uiPriority w:val="0"/>
  </w:style>
  <w:style w:type="character" w:customStyle="1" w:styleId="63">
    <w:name w:val="color_cdyy"/>
    <w:basedOn w:val="23"/>
    <w:qFormat/>
    <w:uiPriority w:val="0"/>
    <w:rPr>
      <w:color w:val="FFFFFF"/>
      <w:bdr w:val="single" w:color="FFFFFF" w:sz="6" w:space="0"/>
    </w:rPr>
  </w:style>
  <w:style w:type="character" w:customStyle="1" w:styleId="64">
    <w:name w:val="layui-laypage-curr"/>
    <w:basedOn w:val="23"/>
    <w:qFormat/>
    <w:uiPriority w:val="0"/>
  </w:style>
  <w:style w:type="character" w:customStyle="1" w:styleId="65">
    <w:name w:val="icon_dljg"/>
    <w:basedOn w:val="23"/>
    <w:qFormat/>
    <w:uiPriority w:val="0"/>
  </w:style>
  <w:style w:type="character" w:customStyle="1" w:styleId="66">
    <w:name w:val="icon_cxktbr"/>
    <w:basedOn w:val="23"/>
    <w:qFormat/>
    <w:uiPriority w:val="0"/>
  </w:style>
  <w:style w:type="character" w:customStyle="1" w:styleId="67">
    <w:name w:val="icon_gzkj"/>
    <w:basedOn w:val="23"/>
    <w:qFormat/>
    <w:uiPriority w:val="0"/>
  </w:style>
  <w:style w:type="character" w:customStyle="1" w:styleId="68">
    <w:name w:val="l_15"/>
    <w:basedOn w:val="23"/>
    <w:qFormat/>
    <w:uiPriority w:val="0"/>
  </w:style>
  <w:style w:type="character" w:customStyle="1" w:styleId="69">
    <w:name w:val="icon_xzry"/>
    <w:basedOn w:val="23"/>
    <w:qFormat/>
    <w:uiPriority w:val="0"/>
  </w:style>
  <w:style w:type="character" w:customStyle="1" w:styleId="70">
    <w:name w:val="l_11"/>
    <w:basedOn w:val="23"/>
    <w:qFormat/>
    <w:uiPriority w:val="0"/>
  </w:style>
  <w:style w:type="character" w:customStyle="1" w:styleId="71">
    <w:name w:val="l_111"/>
    <w:basedOn w:val="23"/>
    <w:qFormat/>
    <w:uiPriority w:val="0"/>
  </w:style>
  <w:style w:type="character" w:customStyle="1" w:styleId="72">
    <w:name w:val="l_4"/>
    <w:basedOn w:val="23"/>
    <w:qFormat/>
    <w:uiPriority w:val="0"/>
  </w:style>
  <w:style w:type="character" w:customStyle="1" w:styleId="73">
    <w:name w:val="l_41"/>
    <w:basedOn w:val="23"/>
    <w:qFormat/>
    <w:uiPriority w:val="0"/>
  </w:style>
  <w:style w:type="character" w:customStyle="1" w:styleId="74">
    <w:name w:val="l_3"/>
    <w:basedOn w:val="23"/>
    <w:qFormat/>
    <w:uiPriority w:val="0"/>
  </w:style>
  <w:style w:type="character" w:customStyle="1" w:styleId="75">
    <w:name w:val="l_31"/>
    <w:basedOn w:val="23"/>
    <w:qFormat/>
    <w:uiPriority w:val="0"/>
  </w:style>
  <w:style w:type="character" w:customStyle="1" w:styleId="76">
    <w:name w:val="l_1"/>
    <w:basedOn w:val="23"/>
    <w:qFormat/>
    <w:uiPriority w:val="0"/>
  </w:style>
  <w:style w:type="character" w:customStyle="1" w:styleId="77">
    <w:name w:val="l_12"/>
    <w:basedOn w:val="23"/>
    <w:qFormat/>
    <w:uiPriority w:val="0"/>
  </w:style>
  <w:style w:type="character" w:customStyle="1" w:styleId="78">
    <w:name w:val="l_5"/>
    <w:basedOn w:val="23"/>
    <w:qFormat/>
    <w:uiPriority w:val="0"/>
  </w:style>
  <w:style w:type="character" w:customStyle="1" w:styleId="79">
    <w:name w:val="l_51"/>
    <w:basedOn w:val="23"/>
    <w:qFormat/>
    <w:uiPriority w:val="0"/>
  </w:style>
  <w:style w:type="character" w:customStyle="1" w:styleId="80">
    <w:name w:val="l_7"/>
    <w:basedOn w:val="23"/>
    <w:qFormat/>
    <w:uiPriority w:val="0"/>
  </w:style>
  <w:style w:type="character" w:customStyle="1" w:styleId="81">
    <w:name w:val="l_71"/>
    <w:basedOn w:val="23"/>
    <w:qFormat/>
    <w:uiPriority w:val="0"/>
  </w:style>
  <w:style w:type="character" w:customStyle="1" w:styleId="82">
    <w:name w:val="l_9"/>
    <w:basedOn w:val="23"/>
    <w:qFormat/>
    <w:uiPriority w:val="0"/>
  </w:style>
  <w:style w:type="character" w:customStyle="1" w:styleId="83">
    <w:name w:val="l_91"/>
    <w:basedOn w:val="23"/>
    <w:qFormat/>
    <w:uiPriority w:val="0"/>
  </w:style>
  <w:style w:type="character" w:customStyle="1" w:styleId="84">
    <w:name w:val="l_121"/>
    <w:basedOn w:val="23"/>
    <w:qFormat/>
    <w:uiPriority w:val="0"/>
  </w:style>
  <w:style w:type="character" w:customStyle="1" w:styleId="85">
    <w:name w:val="l_122"/>
    <w:basedOn w:val="23"/>
    <w:qFormat/>
    <w:uiPriority w:val="0"/>
  </w:style>
  <w:style w:type="character" w:customStyle="1" w:styleId="86">
    <w:name w:val="first-child1"/>
    <w:basedOn w:val="23"/>
    <w:qFormat/>
    <w:uiPriority w:val="0"/>
  </w:style>
  <w:style w:type="character" w:customStyle="1" w:styleId="87">
    <w:name w:val="l_131"/>
    <w:basedOn w:val="23"/>
    <w:qFormat/>
    <w:uiPriority w:val="0"/>
  </w:style>
  <w:style w:type="character" w:customStyle="1" w:styleId="88">
    <w:name w:val="l_141"/>
    <w:basedOn w:val="23"/>
    <w:qFormat/>
    <w:uiPriority w:val="0"/>
  </w:style>
  <w:style w:type="character" w:customStyle="1" w:styleId="89">
    <w:name w:val="l_151"/>
    <w:basedOn w:val="23"/>
    <w:qFormat/>
    <w:uiPriority w:val="0"/>
  </w:style>
  <w:style w:type="character" w:customStyle="1" w:styleId="90">
    <w:name w:val="l_112"/>
    <w:basedOn w:val="23"/>
    <w:qFormat/>
    <w:uiPriority w:val="0"/>
  </w:style>
  <w:style w:type="character" w:customStyle="1" w:styleId="91">
    <w:name w:val="l_01"/>
    <w:basedOn w:val="23"/>
    <w:qFormat/>
    <w:uiPriority w:val="0"/>
  </w:style>
  <w:style w:type="character" w:customStyle="1" w:styleId="92">
    <w:name w:val="l_61"/>
    <w:basedOn w:val="23"/>
    <w:qFormat/>
    <w:uiPriority w:val="0"/>
  </w:style>
  <w:style w:type="character" w:customStyle="1" w:styleId="93">
    <w:name w:val="l_132"/>
    <w:basedOn w:val="23"/>
    <w:qFormat/>
    <w:uiPriority w:val="0"/>
  </w:style>
  <w:style w:type="character" w:customStyle="1" w:styleId="94">
    <w:name w:val="批注框文本 Char"/>
    <w:basedOn w:val="23"/>
    <w:link w:val="13"/>
    <w:semiHidden/>
    <w:qFormat/>
    <w:uiPriority w:val="99"/>
    <w:rPr>
      <w:kern w:val="2"/>
      <w:sz w:val="18"/>
      <w:szCs w:val="18"/>
    </w:rPr>
  </w:style>
  <w:style w:type="character" w:customStyle="1" w:styleId="95">
    <w:name w:val="日期 Char"/>
    <w:basedOn w:val="23"/>
    <w:link w:val="12"/>
    <w:qFormat/>
    <w:uiPriority w:val="0"/>
    <w:rPr>
      <w:kern w:val="2"/>
      <w:sz w:val="28"/>
    </w:rPr>
  </w:style>
  <w:style w:type="paragraph" w:customStyle="1" w:styleId="96">
    <w:name w:val="*正文"/>
    <w:basedOn w:val="1"/>
    <w:qFormat/>
    <w:uiPriority w:val="0"/>
    <w:pPr>
      <w:keepNext/>
      <w:keepLines/>
      <w:spacing w:line="360" w:lineRule="auto"/>
      <w:ind w:firstLine="200" w:firstLineChars="200"/>
    </w:pPr>
    <w:rPr>
      <w:rFonts w:ascii="宋体" w:hAnsi="宋体"/>
    </w:rPr>
  </w:style>
  <w:style w:type="paragraph" w:customStyle="1" w:styleId="97">
    <w:name w:val="Table Paragraph"/>
    <w:basedOn w:val="1"/>
    <w:qFormat/>
    <w:uiPriority w:val="1"/>
    <w:rPr>
      <w:rFonts w:ascii="宋体" w:hAnsi="宋体" w:eastAsia="宋体" w:cs="宋体"/>
      <w:lang w:val="zh-CN" w:eastAsia="zh-CN" w:bidi="zh-CN"/>
    </w:rPr>
  </w:style>
  <w:style w:type="paragraph" w:customStyle="1" w:styleId="98">
    <w:name w:val="文档正文"/>
    <w:basedOn w:val="1"/>
    <w:qFormat/>
    <w:uiPriority w:val="0"/>
    <w:pPr>
      <w:adjustRightInd w:val="0"/>
      <w:spacing w:line="480" w:lineRule="atLeast"/>
      <w:ind w:firstLine="567"/>
      <w:textAlignment w:val="baseline"/>
    </w:pPr>
    <w:rPr>
      <w:rFonts w:ascii="仿宋_GB2312" w:eastAsia="仿宋_GB2312" w:cs="仿宋_GB2312"/>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49</Pages>
  <Words>17080</Words>
  <Characters>18152</Characters>
  <Lines>205</Lines>
  <Paragraphs>57</Paragraphs>
  <TotalTime>2</TotalTime>
  <ScaleCrop>false</ScaleCrop>
  <LinksUpToDate>false</LinksUpToDate>
  <CharactersWithSpaces>18302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2022-11-17T06:14:00Z</dcterms:created>
  <dc:creator>Admin</dc:creator>
  <cp:lastModifiedBy>唯爱</cp:lastModifiedBy>
  <cp:lastPrinted>2025-11-11T03:59:00Z</cp:lastPrinted>
  <dcterms:modified xsi:type="dcterms:W3CDTF">2025-11-11T13:15:04Z</dcterms:modified>
  <cp:revision>556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97DC0C7AC1A9418E879DC50AB0A1807B_13</vt:lpwstr>
  </property>
  <property fmtid="{D5CDD505-2E9C-101B-9397-08002B2CF9AE}" pid="4" name="KSOTemplateDocerSaveRecord">
    <vt:lpwstr>eyJoZGlkIjoiN2RiMzk1NjdhZGE1MjI5NDU0ZWZkMjJiMzgwNWNjNmMiLCJ1c2VySWQiOiIyMzU2MzE4MTEifQ==</vt:lpwstr>
  </property>
</Properties>
</file>