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23FCD">
      <w:pPr>
        <w:pStyle w:val="22"/>
        <w:tabs>
          <w:tab w:val="left" w:pos="945"/>
          <w:tab w:val="left" w:pos="1155"/>
        </w:tabs>
        <w:ind w:left="0" w:leftChars="0" w:firstLine="0" w:firstLineChars="0"/>
        <w:jc w:val="both"/>
        <w:rPr>
          <w:rFonts w:hint="eastAsia" w:ascii="宋体" w:hAnsi="宋体" w:eastAsia="宋体" w:cs="宋体"/>
          <w:b/>
          <w:bCs/>
          <w:color w:val="auto"/>
          <w:spacing w:val="0"/>
          <w:sz w:val="28"/>
          <w:szCs w:val="28"/>
          <w:highlight w:val="none"/>
          <w:lang w:eastAsia="zh-CN"/>
        </w:rPr>
      </w:pPr>
    </w:p>
    <w:p w14:paraId="1A3905E8">
      <w:pPr>
        <w:pStyle w:val="22"/>
        <w:tabs>
          <w:tab w:val="left" w:pos="945"/>
          <w:tab w:val="left" w:pos="1155"/>
        </w:tabs>
        <w:spacing w:line="360" w:lineRule="auto"/>
        <w:ind w:left="0" w:leftChars="0" w:firstLine="0" w:firstLineChars="0"/>
        <w:jc w:val="center"/>
        <w:rPr>
          <w:rFonts w:hint="default" w:ascii="宋体" w:hAnsi="宋体" w:eastAsia="宋体" w:cs="宋体"/>
          <w:b/>
          <w:bCs/>
          <w:color w:val="auto"/>
          <w:spacing w:val="0"/>
          <w:sz w:val="36"/>
          <w:szCs w:val="36"/>
          <w:highlight w:val="none"/>
          <w:lang w:val="en-US" w:eastAsia="zh-CN"/>
        </w:rPr>
      </w:pPr>
      <w:r>
        <w:rPr>
          <w:rFonts w:hint="default" w:ascii="宋体" w:hAnsi="宋体" w:cs="宋体"/>
          <w:b/>
          <w:bCs/>
          <w:color w:val="auto"/>
          <w:spacing w:val="0"/>
          <w:sz w:val="36"/>
          <w:szCs w:val="36"/>
          <w:highlight w:val="none"/>
          <w:lang w:val="en-US" w:eastAsia="zh-CN"/>
        </w:rPr>
        <w:t>信阳市平桥区17个建制乡（镇）环境空气质量自动监测站运维采购项目</w:t>
      </w:r>
    </w:p>
    <w:p w14:paraId="59AA5287">
      <w:pPr>
        <w:pStyle w:val="22"/>
        <w:ind w:left="0" w:leftChars="0" w:firstLine="0" w:firstLineChars="0"/>
        <w:rPr>
          <w:rFonts w:hint="eastAsia" w:ascii="宋体" w:hAnsi="宋体" w:eastAsia="宋体" w:cs="宋体"/>
          <w:b/>
          <w:color w:val="auto"/>
          <w:spacing w:val="20"/>
          <w:sz w:val="32"/>
          <w:szCs w:val="32"/>
          <w:highlight w:val="none"/>
        </w:rPr>
      </w:pPr>
    </w:p>
    <w:p w14:paraId="03305B60">
      <w:pPr>
        <w:rPr>
          <w:rFonts w:hint="eastAsia" w:ascii="宋体" w:hAnsi="宋体" w:eastAsia="宋体" w:cs="宋体"/>
          <w:highlight w:val="none"/>
        </w:rPr>
      </w:pPr>
    </w:p>
    <w:p w14:paraId="790137E6">
      <w:pPr>
        <w:spacing w:before="120" w:beforeLines="50" w:after="120" w:afterLines="50" w:line="160" w:lineRule="atLeast"/>
        <w:jc w:val="center"/>
        <w:rPr>
          <w:rFonts w:hint="eastAsia" w:ascii="宋体" w:hAnsi="宋体" w:eastAsia="宋体" w:cs="宋体"/>
          <w:b/>
          <w:color w:val="auto"/>
          <w:spacing w:val="20"/>
          <w:sz w:val="96"/>
          <w:szCs w:val="96"/>
          <w:highlight w:val="none"/>
        </w:rPr>
      </w:pPr>
      <w:r>
        <w:rPr>
          <w:rFonts w:hint="eastAsia" w:ascii="宋体" w:hAnsi="宋体" w:eastAsia="宋体" w:cs="宋体"/>
          <w:b/>
          <w:color w:val="auto"/>
          <w:spacing w:val="20"/>
          <w:sz w:val="96"/>
          <w:szCs w:val="96"/>
          <w:highlight w:val="none"/>
        </w:rPr>
        <w:t>招标文件</w:t>
      </w:r>
    </w:p>
    <w:p w14:paraId="56520D57">
      <w:pPr>
        <w:spacing w:line="360" w:lineRule="auto"/>
        <w:ind w:firstLine="2160" w:firstLineChars="900"/>
        <w:rPr>
          <w:rFonts w:ascii="宋体" w:hAnsi="宋体" w:cs="宋体"/>
          <w:b/>
          <w:bCs/>
          <w:color w:val="auto"/>
          <w:sz w:val="32"/>
          <w:szCs w:val="32"/>
          <w:highlight w:val="none"/>
        </w:rPr>
      </w:pPr>
      <w:r>
        <w:rPr>
          <w:rFonts w:hint="eastAsia" w:ascii="宋体" w:hAnsi="宋体"/>
          <w:color w:val="000000"/>
          <w:sz w:val="24"/>
        </w:rPr>
        <w:drawing>
          <wp:anchor distT="0" distB="0" distL="114300" distR="114300" simplePos="0" relativeHeight="251661312" behindDoc="0" locked="0" layoutInCell="1" allowOverlap="1">
            <wp:simplePos x="0" y="0"/>
            <wp:positionH relativeFrom="column">
              <wp:posOffset>1733550</wp:posOffset>
            </wp:positionH>
            <wp:positionV relativeFrom="paragraph">
              <wp:posOffset>974090</wp:posOffset>
            </wp:positionV>
            <wp:extent cx="2282190" cy="2449830"/>
            <wp:effectExtent l="0" t="0" r="3810" b="7620"/>
            <wp:wrapTopAndBottom/>
            <wp:docPr id="2" name="图片 1" descr="IMG_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0999"/>
                    <pic:cNvPicPr>
                      <a:picLocks noChangeAspect="1"/>
                    </pic:cNvPicPr>
                  </pic:nvPicPr>
                  <pic:blipFill>
                    <a:blip r:embed="rId18"/>
                    <a:stretch>
                      <a:fillRect/>
                    </a:stretch>
                  </pic:blipFill>
                  <pic:spPr>
                    <a:xfrm>
                      <a:off x="0" y="0"/>
                      <a:ext cx="2282190" cy="2449830"/>
                    </a:xfrm>
                    <a:prstGeom prst="rect">
                      <a:avLst/>
                    </a:prstGeom>
                    <a:noFill/>
                    <a:ln>
                      <a:noFill/>
                    </a:ln>
                  </pic:spPr>
                </pic:pic>
              </a:graphicData>
            </a:graphic>
          </wp:anchor>
        </w:drawing>
      </w:r>
    </w:p>
    <w:p w14:paraId="784CB8D8">
      <w:pPr>
        <w:spacing w:line="360" w:lineRule="auto"/>
        <w:jc w:val="center"/>
        <w:rPr>
          <w:rFonts w:hint="default" w:ascii="宋体" w:hAnsi="宋体" w:eastAsia="宋体" w:cs="宋体"/>
          <w:color w:val="auto"/>
          <w:highlight w:val="none"/>
          <w:lang w:val="en-US" w:eastAsia="zh-CN"/>
        </w:rPr>
      </w:pPr>
      <w:r>
        <w:rPr>
          <w:rFonts w:hint="eastAsia" w:ascii="宋体" w:hAnsi="宋体" w:cs="宋体"/>
          <w:b/>
          <w:color w:val="auto"/>
          <w:sz w:val="28"/>
          <w:szCs w:val="28"/>
          <w:highlight w:val="none"/>
        </w:rPr>
        <w:t>采购编号：</w:t>
      </w:r>
      <w:r>
        <w:rPr>
          <w:rFonts w:hint="eastAsia" w:ascii="宋体" w:hAnsi="宋体" w:cs="宋体"/>
          <w:b/>
          <w:bCs/>
          <w:color w:val="auto"/>
          <w:kern w:val="44"/>
          <w:sz w:val="28"/>
          <w:szCs w:val="28"/>
          <w:highlight w:val="none"/>
        </w:rPr>
        <w:t>信财公开招标-202</w:t>
      </w:r>
      <w:r>
        <w:rPr>
          <w:rFonts w:hint="eastAsia" w:ascii="宋体" w:hAnsi="宋体" w:cs="宋体"/>
          <w:b/>
          <w:bCs/>
          <w:color w:val="auto"/>
          <w:kern w:val="44"/>
          <w:sz w:val="28"/>
          <w:szCs w:val="28"/>
          <w:highlight w:val="none"/>
          <w:lang w:val="en-US" w:eastAsia="zh-CN"/>
        </w:rPr>
        <w:t>6</w:t>
      </w:r>
      <w:r>
        <w:rPr>
          <w:rFonts w:hint="eastAsia" w:ascii="宋体" w:hAnsi="宋体" w:cs="宋体"/>
          <w:b/>
          <w:bCs/>
          <w:color w:val="auto"/>
          <w:kern w:val="44"/>
          <w:sz w:val="28"/>
          <w:szCs w:val="28"/>
          <w:highlight w:val="none"/>
        </w:rPr>
        <w:t>-</w:t>
      </w:r>
      <w:r>
        <w:rPr>
          <w:rFonts w:hint="eastAsia" w:ascii="宋体" w:hAnsi="宋体" w:cs="宋体"/>
          <w:b/>
          <w:bCs/>
          <w:color w:val="auto"/>
          <w:kern w:val="44"/>
          <w:sz w:val="28"/>
          <w:szCs w:val="28"/>
          <w:highlight w:val="none"/>
          <w:lang w:val="en-US" w:eastAsia="zh-CN"/>
        </w:rPr>
        <w:t>16</w:t>
      </w:r>
    </w:p>
    <w:p w14:paraId="16C5351E">
      <w:pPr>
        <w:rPr>
          <w:rFonts w:hint="eastAsia" w:ascii="宋体" w:hAnsi="宋体" w:eastAsia="宋体" w:cs="宋体"/>
          <w:color w:val="auto"/>
          <w:highlight w:val="none"/>
        </w:rPr>
      </w:pPr>
    </w:p>
    <w:p w14:paraId="1826D0C2">
      <w:pPr>
        <w:pStyle w:val="21"/>
        <w:ind w:firstLine="210"/>
        <w:rPr>
          <w:rFonts w:hint="eastAsia" w:ascii="宋体" w:hAnsi="宋体" w:eastAsia="宋体" w:cs="宋体"/>
          <w:color w:val="auto"/>
          <w:highlight w:val="none"/>
        </w:rPr>
      </w:pPr>
    </w:p>
    <w:p w14:paraId="7DB1132A">
      <w:pPr>
        <w:pStyle w:val="21"/>
        <w:ind w:left="0" w:leftChars="0" w:firstLine="0" w:firstLineChars="0"/>
        <w:rPr>
          <w:rFonts w:hint="eastAsia" w:ascii="宋体" w:hAnsi="宋体" w:eastAsia="宋体" w:cs="宋体"/>
          <w:color w:val="auto"/>
          <w:highlight w:val="none"/>
        </w:rPr>
      </w:pPr>
    </w:p>
    <w:p w14:paraId="7B0211A5">
      <w:pPr>
        <w:pStyle w:val="21"/>
        <w:ind w:left="0" w:leftChars="0" w:firstLine="0" w:firstLineChars="0"/>
        <w:rPr>
          <w:rFonts w:hint="eastAsia" w:ascii="宋体" w:hAnsi="宋体" w:eastAsia="宋体" w:cs="宋体"/>
          <w:color w:val="auto"/>
          <w:highlight w:val="none"/>
        </w:rPr>
      </w:pPr>
    </w:p>
    <w:p w14:paraId="7966FC3A">
      <w:pPr>
        <w:pStyle w:val="21"/>
        <w:ind w:firstLine="210"/>
        <w:rPr>
          <w:rFonts w:hint="eastAsia" w:ascii="宋体" w:hAnsi="宋体" w:eastAsia="宋体" w:cs="宋体"/>
          <w:color w:val="auto"/>
          <w:highlight w:val="none"/>
        </w:rPr>
      </w:pPr>
    </w:p>
    <w:p w14:paraId="43BDBADE">
      <w:pPr>
        <w:spacing w:line="480" w:lineRule="auto"/>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采购人：</w:t>
      </w:r>
      <w:r>
        <w:rPr>
          <w:rFonts w:hint="eastAsia" w:ascii="宋体" w:hAnsi="宋体" w:cs="宋体"/>
          <w:b/>
          <w:color w:val="auto"/>
          <w:spacing w:val="0"/>
          <w:sz w:val="32"/>
          <w:szCs w:val="32"/>
          <w:highlight w:val="none"/>
          <w:lang w:val="en-US" w:eastAsia="zh-CN"/>
        </w:rPr>
        <w:t>信阳市生态环境局直属二分局</w:t>
      </w:r>
    </w:p>
    <w:p w14:paraId="3558C870">
      <w:pPr>
        <w:spacing w:line="48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代理机构：</w:t>
      </w:r>
      <w:r>
        <w:rPr>
          <w:rFonts w:hint="eastAsia" w:ascii="宋体" w:hAnsi="宋体" w:cs="宋体"/>
          <w:b/>
          <w:color w:val="auto"/>
          <w:sz w:val="32"/>
          <w:szCs w:val="32"/>
          <w:highlight w:val="none"/>
          <w:lang w:eastAsia="zh-CN"/>
        </w:rPr>
        <w:t>中金泰富工程管理有限公司</w:t>
      </w:r>
    </w:p>
    <w:p w14:paraId="24C85E14">
      <w:pPr>
        <w:spacing w:line="480" w:lineRule="auto"/>
        <w:ind w:firstLine="1928" w:firstLineChars="600"/>
        <w:jc w:val="both"/>
        <w:rPr>
          <w:rFonts w:hint="eastAsia" w:ascii="宋体" w:hAnsi="宋体" w:eastAsia="宋体" w:cs="宋体"/>
          <w:b/>
          <w:color w:val="auto"/>
          <w:sz w:val="36"/>
          <w:szCs w:val="36"/>
          <w:highlight w:val="none"/>
        </w:rPr>
        <w:sectPr>
          <w:headerReference r:id="rId4" w:type="first"/>
          <w:headerReference r:id="rId3" w:type="even"/>
          <w:footerReference r:id="rId5" w:type="even"/>
          <w:pgSz w:w="11907" w:h="16840"/>
          <w:pgMar w:top="1418" w:right="1247" w:bottom="1247" w:left="1418" w:header="624" w:footer="680" w:gutter="0"/>
          <w:pgNumType w:fmt="numberInDash" w:start="1"/>
          <w:cols w:space="720" w:num="1"/>
          <w:titlePg/>
          <w:docGrid w:linePitch="306" w:charSpace="-2"/>
        </w:sectPr>
      </w:pPr>
      <w:r>
        <w:rPr>
          <w:rFonts w:hint="eastAsia" w:ascii="宋体" w:hAnsi="宋体" w:eastAsia="宋体" w:cs="宋体"/>
          <w:b/>
          <w:color w:val="auto"/>
          <w:sz w:val="32"/>
          <w:szCs w:val="32"/>
          <w:highlight w:val="none"/>
        </w:rPr>
        <w:t>日</w:t>
      </w:r>
      <w:r>
        <w:rPr>
          <w:rFonts w:hint="eastAsia" w:ascii="宋体" w:hAnsi="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期：</w:t>
      </w:r>
      <w:r>
        <w:rPr>
          <w:rFonts w:hint="eastAsia" w:ascii="宋体" w:hAnsi="宋体" w:eastAsia="宋体" w:cs="宋体"/>
          <w:b/>
          <w:color w:val="auto"/>
          <w:spacing w:val="0"/>
          <w:sz w:val="32"/>
          <w:szCs w:val="32"/>
          <w:highlight w:val="none"/>
          <w:lang w:val="en-US" w:eastAsia="zh-CN"/>
        </w:rPr>
        <w:t>二〇二</w:t>
      </w:r>
      <w:r>
        <w:rPr>
          <w:rFonts w:hint="eastAsia" w:ascii="宋体" w:hAnsi="宋体" w:cs="宋体"/>
          <w:b/>
          <w:color w:val="auto"/>
          <w:spacing w:val="0"/>
          <w:sz w:val="32"/>
          <w:szCs w:val="32"/>
          <w:highlight w:val="none"/>
          <w:lang w:val="en-US" w:eastAsia="zh-CN"/>
        </w:rPr>
        <w:t>六</w:t>
      </w:r>
      <w:r>
        <w:rPr>
          <w:rFonts w:hint="eastAsia" w:ascii="宋体" w:hAnsi="宋体" w:eastAsia="宋体" w:cs="宋体"/>
          <w:b/>
          <w:color w:val="auto"/>
          <w:spacing w:val="0"/>
          <w:sz w:val="32"/>
          <w:szCs w:val="32"/>
          <w:highlight w:val="none"/>
          <w:lang w:val="en-US" w:eastAsia="zh-CN"/>
        </w:rPr>
        <w:t>年</w:t>
      </w:r>
      <w:r>
        <w:rPr>
          <w:rFonts w:hint="eastAsia" w:ascii="宋体" w:hAnsi="宋体" w:cs="宋体"/>
          <w:b/>
          <w:color w:val="auto"/>
          <w:spacing w:val="0"/>
          <w:sz w:val="32"/>
          <w:szCs w:val="32"/>
          <w:highlight w:val="none"/>
          <w:lang w:val="en-US" w:eastAsia="zh-CN"/>
        </w:rPr>
        <w:t>一</w:t>
      </w:r>
      <w:r>
        <w:rPr>
          <w:rFonts w:hint="eastAsia" w:ascii="宋体" w:hAnsi="宋体" w:eastAsia="宋体" w:cs="宋体"/>
          <w:b/>
          <w:color w:val="auto"/>
          <w:spacing w:val="0"/>
          <w:sz w:val="32"/>
          <w:szCs w:val="32"/>
          <w:highlight w:val="none"/>
          <w:lang w:val="en-US" w:eastAsia="zh-CN"/>
        </w:rPr>
        <w:t>月</w:t>
      </w:r>
    </w:p>
    <w:p w14:paraId="3029E65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rPr>
        <w:t>致政府采购供应商和代理机构的一封信</w:t>
      </w:r>
    </w:p>
    <w:p w14:paraId="4F166DB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auto"/>
          <w:sz w:val="32"/>
          <w:szCs w:val="32"/>
        </w:rPr>
      </w:pPr>
    </w:p>
    <w:p w14:paraId="46802C1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尊敬的政府采购供应商、代理机构：</w:t>
      </w:r>
    </w:p>
    <w:p w14:paraId="36443C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您好！非常感谢您一直以来对</w:t>
      </w:r>
      <w:r>
        <w:rPr>
          <w:rFonts w:hint="eastAsia" w:ascii="Times New Roman" w:hAnsi="Times New Roman" w:eastAsia="仿宋_GB2312"/>
          <w:color w:val="auto"/>
          <w:sz w:val="32"/>
          <w:szCs w:val="32"/>
          <w:lang w:eastAsia="zh-CN"/>
        </w:rPr>
        <w:t>信阳市</w:t>
      </w:r>
      <w:r>
        <w:rPr>
          <w:rFonts w:hint="eastAsia" w:ascii="Times New Roman" w:hAnsi="Times New Roman" w:eastAsia="仿宋_GB2312"/>
          <w:color w:val="auto"/>
          <w:sz w:val="32"/>
          <w:szCs w:val="32"/>
        </w:rPr>
        <w:t>政府采购活动的关心和支持！</w:t>
      </w:r>
    </w:p>
    <w:p w14:paraId="5A2C3F1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近年来，</w:t>
      </w:r>
      <w:r>
        <w:rPr>
          <w:rFonts w:hint="eastAsia" w:ascii="Times New Roman" w:hAnsi="Times New Roman" w:eastAsia="仿宋_GB2312"/>
          <w:color w:val="auto"/>
          <w:sz w:val="32"/>
          <w:szCs w:val="32"/>
          <w:lang w:eastAsia="zh-CN"/>
        </w:rPr>
        <w:t>信阳</w:t>
      </w:r>
      <w:r>
        <w:rPr>
          <w:rFonts w:hint="eastAsia" w:ascii="Times New Roman" w:hAnsi="Times New Roman" w:eastAsia="仿宋_GB2312"/>
          <w:color w:val="auto"/>
          <w:sz w:val="32"/>
          <w:szCs w:val="32"/>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25C2FB30">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2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208BED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尽管做了一些工作，但我们深知，离贵公司的期望还有差距。恳请贵公司对我们的工作提出宝贵意见，并持续给予关注、支持和监督！</w:t>
      </w:r>
    </w:p>
    <w:p w14:paraId="4730A4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olor w:val="auto"/>
          <w:sz w:val="32"/>
          <w:szCs w:val="32"/>
          <w:lang w:eastAsia="zh-CN"/>
        </w:rPr>
        <w:t>凡涉及信阳市政府采购领域营商环境的任何问题，贵公司均可通过专线电话03</w:t>
      </w:r>
      <w:r>
        <w:rPr>
          <w:rFonts w:hint="eastAsia" w:ascii="Times New Roman" w:hAnsi="Times New Roman" w:eastAsia="仿宋_GB2312"/>
          <w:color w:val="auto"/>
          <w:sz w:val="32"/>
          <w:szCs w:val="32"/>
          <w:lang w:val="en-US" w:eastAsia="zh-CN"/>
        </w:rPr>
        <w:t>76</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6699123</w:t>
      </w:r>
      <w:r>
        <w:rPr>
          <w:rFonts w:hint="eastAsia" w:ascii="Times New Roman" w:hAnsi="Times New Roman" w:eastAsia="仿宋_GB2312"/>
          <w:color w:val="auto"/>
          <w:sz w:val="32"/>
          <w:szCs w:val="32"/>
          <w:lang w:eastAsia="zh-CN"/>
        </w:rPr>
        <w:t>、电子邮箱</w:t>
      </w:r>
      <w:r>
        <w:rPr>
          <w:rFonts w:hint="eastAsia" w:ascii="Times New Roman" w:hAnsi="Times New Roman" w:eastAsia="仿宋_GB2312"/>
          <w:color w:val="auto"/>
          <w:sz w:val="32"/>
          <w:szCs w:val="32"/>
          <w:lang w:val="en-US" w:eastAsia="zh-CN"/>
        </w:rPr>
        <w:t>czyszb228</w:t>
      </w:r>
      <w:r>
        <w:rPr>
          <w:rFonts w:hint="eastAsia" w:ascii="Times New Roman" w:hAnsi="Times New Roman" w:eastAsia="仿宋_GB2312"/>
          <w:color w:val="auto"/>
          <w:sz w:val="32"/>
          <w:szCs w:val="32"/>
          <w:lang w:eastAsia="zh-CN"/>
        </w:rPr>
        <w:t>@163.com，与信阳市财政</w:t>
      </w:r>
      <w:r>
        <w:rPr>
          <w:rFonts w:hint="eastAsia" w:ascii="Times New Roman" w:hAnsi="Times New Roman" w:eastAsia="仿宋_GB2312" w:cs="Times New Roman"/>
          <w:b w:val="0"/>
          <w:bCs w:val="0"/>
          <w:color w:val="auto"/>
          <w:kern w:val="2"/>
          <w:sz w:val="32"/>
          <w:szCs w:val="32"/>
          <w:lang w:val="en-US" w:eastAsia="zh-CN" w:bidi="ar-SA"/>
        </w:rPr>
        <w:t>局优化营商环境办公室</w:t>
      </w:r>
      <w:r>
        <w:rPr>
          <w:rFonts w:hint="eastAsia" w:ascii="Times New Roman" w:hAnsi="Times New Roman" w:eastAsia="仿宋_GB2312"/>
          <w:color w:val="auto"/>
          <w:sz w:val="32"/>
          <w:szCs w:val="32"/>
          <w:lang w:eastAsia="zh-CN"/>
        </w:rPr>
        <w:t>随时沟通交流</w:t>
      </w:r>
      <w:r>
        <w:rPr>
          <w:rFonts w:hint="eastAsia" w:ascii="Times New Roman" w:hAnsi="Times New Roman" w:eastAsia="仿宋_GB2312" w:cs="Times New Roman"/>
          <w:b w:val="0"/>
          <w:bCs w:val="0"/>
          <w:color w:val="auto"/>
          <w:kern w:val="2"/>
          <w:sz w:val="32"/>
          <w:szCs w:val="32"/>
          <w:lang w:val="en-US" w:eastAsia="zh-CN" w:bidi="ar-SA"/>
        </w:rPr>
        <w:t>，我们将竭诚为各位供应商服务，全力解决贵公司遇到的困难。</w:t>
      </w:r>
    </w:p>
    <w:p w14:paraId="0BF411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再次感谢贵公司对</w:t>
      </w:r>
      <w:r>
        <w:rPr>
          <w:rFonts w:hint="eastAsia" w:ascii="Times New Roman" w:hAnsi="Times New Roman" w:eastAsia="仿宋_GB2312"/>
          <w:color w:val="auto"/>
          <w:sz w:val="32"/>
          <w:szCs w:val="32"/>
          <w:lang w:eastAsia="zh-CN"/>
        </w:rPr>
        <w:t>信阳</w:t>
      </w:r>
      <w:r>
        <w:rPr>
          <w:rFonts w:hint="eastAsia" w:ascii="Times New Roman" w:hAnsi="Times New Roman" w:eastAsia="仿宋_GB2312"/>
          <w:color w:val="auto"/>
          <w:sz w:val="32"/>
          <w:szCs w:val="32"/>
        </w:rPr>
        <w:t>市政府采购工作的关心和支持！</w:t>
      </w:r>
      <w:r>
        <w:rPr>
          <w:rFonts w:hint="eastAsia" w:ascii="Times New Roman" w:hAnsi="Times New Roman" w:eastAsia="仿宋_GB2312"/>
          <w:color w:val="auto"/>
          <w:sz w:val="32"/>
          <w:szCs w:val="32"/>
          <w:lang w:eastAsia="zh-CN"/>
        </w:rPr>
        <w:t>让我们携起手来</w:t>
      </w:r>
      <w:r>
        <w:rPr>
          <w:rFonts w:hint="eastAsia" w:ascii="Times New Roman" w:hAnsi="Times New Roman" w:eastAsia="仿宋_GB2312"/>
          <w:color w:val="auto"/>
          <w:sz w:val="32"/>
          <w:szCs w:val="32"/>
        </w:rPr>
        <w:t>为“美好生活看信阳”做出财政贡献！</w:t>
      </w:r>
    </w:p>
    <w:p w14:paraId="61D01F25">
      <w:pPr>
        <w:keepNext w:val="0"/>
        <w:keepLines w:val="0"/>
        <w:pageBreakBefore w:val="0"/>
        <w:kinsoku/>
        <w:wordWrap/>
        <w:overflowPunct/>
        <w:topLinePunct w:val="0"/>
        <w:autoSpaceDE/>
        <w:autoSpaceDN/>
        <w:bidi w:val="0"/>
        <w:adjustRightInd/>
        <w:snapToGrid/>
        <w:spacing w:line="520" w:lineRule="exact"/>
        <w:textAlignment w:val="auto"/>
        <w:rPr>
          <w:rFonts w:hint="eastAsia"/>
          <w:color w:val="auto"/>
        </w:rPr>
      </w:pPr>
    </w:p>
    <w:p w14:paraId="1054603A">
      <w:pPr>
        <w:keepNext w:val="0"/>
        <w:keepLines w:val="0"/>
        <w:pageBreakBefore w:val="0"/>
        <w:kinsoku/>
        <w:wordWrap/>
        <w:overflowPunct/>
        <w:topLinePunct w:val="0"/>
        <w:autoSpaceDE/>
        <w:autoSpaceDN/>
        <w:bidi w:val="0"/>
        <w:adjustRightInd/>
        <w:snapToGrid/>
        <w:spacing w:line="520" w:lineRule="exact"/>
        <w:ind w:firstLine="6080" w:firstLineChars="19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信阳市财政局</w:t>
      </w:r>
    </w:p>
    <w:p w14:paraId="1EA5FD3D">
      <w:pPr>
        <w:spacing w:before="0" w:beforeLines="0" w:after="0" w:afterLines="0" w:line="480" w:lineRule="auto"/>
        <w:ind w:left="0" w:leftChars="0" w:right="0" w:rightChars="0" w:firstLine="0" w:firstLineChars="0"/>
        <w:jc w:val="center"/>
        <w:rPr>
          <w:rFonts w:hint="eastAsia" w:asciiTheme="minorEastAsia" w:hAnsiTheme="minorEastAsia" w:eastAsiaTheme="minorEastAsia" w:cstheme="minorEastAsia"/>
          <w:b/>
          <w:bCs/>
          <w:color w:val="auto"/>
          <w:kern w:val="2"/>
          <w:sz w:val="30"/>
          <w:szCs w:val="30"/>
          <w:highlight w:val="none"/>
          <w:lang w:val="en-US" w:eastAsia="zh-CN" w:bidi="ar-SA"/>
        </w:rPr>
      </w:pPr>
      <w:r>
        <w:rPr>
          <w:rFonts w:hint="eastAsia" w:ascii="Times New Roman" w:hAnsi="Times New Roman" w:eastAsia="仿宋_GB2312"/>
          <w:color w:val="auto"/>
          <w:sz w:val="32"/>
          <w:szCs w:val="32"/>
          <w:lang w:val="en-US" w:eastAsia="zh-CN"/>
        </w:rPr>
        <w:t xml:space="preserve">                               2025年</w:t>
      </w:r>
    </w:p>
    <w:p w14:paraId="4E8972CF">
      <w:pPr>
        <w:spacing w:line="600" w:lineRule="auto"/>
        <w:jc w:val="center"/>
        <w:rPr>
          <w:rFonts w:hint="eastAsia" w:ascii="宋体" w:hAnsi="宋体" w:eastAsia="宋体" w:cs="宋体"/>
          <w:b/>
          <w:color w:val="auto"/>
          <w:sz w:val="36"/>
          <w:szCs w:val="36"/>
          <w:highlight w:val="none"/>
        </w:rPr>
      </w:pPr>
    </w:p>
    <w:p w14:paraId="34D21691">
      <w:pPr>
        <w:spacing w:line="600" w:lineRule="auto"/>
        <w:jc w:val="center"/>
        <w:rPr>
          <w:rFonts w:hint="eastAsia" w:ascii="宋体" w:hAnsi="宋体" w:eastAsia="宋体" w:cs="宋体"/>
          <w:b/>
          <w:color w:val="auto"/>
          <w:sz w:val="36"/>
          <w:szCs w:val="36"/>
          <w:highlight w:val="none"/>
        </w:rPr>
      </w:pPr>
    </w:p>
    <w:p w14:paraId="79265274">
      <w:pPr>
        <w:spacing w:line="600" w:lineRule="auto"/>
        <w:jc w:val="center"/>
        <w:rPr>
          <w:rFonts w:hint="eastAsia" w:ascii="宋体" w:hAnsi="宋体" w:eastAsia="宋体" w:cs="宋体"/>
          <w:b/>
          <w:color w:val="auto"/>
          <w:sz w:val="36"/>
          <w:szCs w:val="36"/>
          <w:highlight w:val="none"/>
        </w:rPr>
      </w:pPr>
    </w:p>
    <w:p w14:paraId="3CAF73E9">
      <w:pPr>
        <w:spacing w:line="600" w:lineRule="auto"/>
        <w:jc w:val="center"/>
        <w:rPr>
          <w:rFonts w:hint="eastAsia" w:ascii="宋体" w:hAnsi="宋体" w:eastAsia="宋体" w:cs="宋体"/>
          <w:b/>
          <w:color w:val="auto"/>
          <w:sz w:val="36"/>
          <w:szCs w:val="36"/>
          <w:highlight w:val="none"/>
        </w:rPr>
      </w:pPr>
    </w:p>
    <w:p w14:paraId="66238734">
      <w:pPr>
        <w:spacing w:line="600" w:lineRule="auto"/>
        <w:jc w:val="center"/>
        <w:rPr>
          <w:rFonts w:hint="eastAsia" w:ascii="宋体" w:hAnsi="宋体" w:eastAsia="宋体" w:cs="宋体"/>
          <w:b/>
          <w:color w:val="auto"/>
          <w:sz w:val="36"/>
          <w:szCs w:val="36"/>
          <w:highlight w:val="none"/>
        </w:rPr>
      </w:pPr>
    </w:p>
    <w:p w14:paraId="14D82104">
      <w:pPr>
        <w:spacing w:line="60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083417B3">
      <w:pPr>
        <w:pStyle w:val="17"/>
        <w:tabs>
          <w:tab w:val="right" w:leader="dot" w:pos="9242"/>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TOC \o "1-2" \h \z \u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_Toc28326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_Toc28326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- 4 -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0834686">
      <w:pPr>
        <w:pStyle w:val="17"/>
        <w:tabs>
          <w:tab w:val="right" w:leader="dot" w:pos="9242"/>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_Toc20745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_Toc20745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- 6 -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45E4CD5">
      <w:pPr>
        <w:pStyle w:val="17"/>
        <w:tabs>
          <w:tab w:val="right" w:leader="dot" w:pos="9242"/>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_Toc26723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评标办法（综合评分法）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_Toc26723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- 23 -</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62AEB6D">
      <w:pPr>
        <w:pStyle w:val="17"/>
        <w:tabs>
          <w:tab w:val="right" w:leader="dot" w:pos="9242"/>
        </w:tabs>
        <w:spacing w:line="48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_Toc6331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第四章 </w:t>
      </w:r>
      <w:r>
        <w:rPr>
          <w:rFonts w:hint="eastAsia" w:ascii="宋体" w:hAnsi="宋体" w:eastAsia="宋体" w:cs="宋体"/>
          <w:color w:val="auto"/>
          <w:sz w:val="28"/>
          <w:szCs w:val="28"/>
          <w:highlight w:val="none"/>
          <w:lang w:eastAsia="zh-CN"/>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_Toc6331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w:t>
      </w:r>
    </w:p>
    <w:p w14:paraId="06E3473A">
      <w:pPr>
        <w:pStyle w:val="17"/>
        <w:tabs>
          <w:tab w:val="right" w:leader="dot" w:pos="9242"/>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_Toc475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合同主要条款及格式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w:t>
      </w:r>
    </w:p>
    <w:p w14:paraId="68EFF438">
      <w:pPr>
        <w:pStyle w:val="17"/>
        <w:tabs>
          <w:tab w:val="right" w:leader="dot" w:pos="9242"/>
        </w:tabs>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_Toc12657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34</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w:t>
      </w:r>
    </w:p>
    <w:p w14:paraId="04334A50">
      <w:pPr>
        <w:pStyle w:val="27"/>
        <w:bidi w:val="0"/>
        <w:jc w:val="center"/>
        <w:rPr>
          <w:rFonts w:hint="eastAsia" w:ascii="宋体" w:hAnsi="宋体" w:eastAsia="宋体" w:cs="宋体"/>
          <w:b/>
          <w:color w:val="auto"/>
          <w:spacing w:val="14"/>
          <w:sz w:val="44"/>
          <w:szCs w:val="44"/>
          <w:highlight w:val="none"/>
        </w:rPr>
      </w:pPr>
      <w:r>
        <w:rPr>
          <w:rFonts w:hint="eastAsia" w:ascii="宋体" w:hAnsi="宋体" w:eastAsia="宋体" w:cs="宋体"/>
          <w:color w:val="auto"/>
          <w:highlight w:val="none"/>
        </w:rPr>
        <w:br w:type="page"/>
      </w:r>
      <w:r>
        <w:rPr>
          <w:rFonts w:hint="eastAsia" w:ascii="宋体" w:hAnsi="宋体" w:eastAsia="宋体" w:cs="宋体"/>
          <w:color w:val="auto"/>
          <w:szCs w:val="30"/>
          <w:highlight w:val="none"/>
        </w:rPr>
        <w:fldChar w:fldCharType="end"/>
      </w:r>
      <w:bookmarkStart w:id="0" w:name="_Toc28326"/>
      <w:bookmarkStart w:id="1" w:name="_Toc414956948"/>
      <w:r>
        <w:rPr>
          <w:rFonts w:hint="eastAsia" w:ascii="宋体" w:hAnsi="宋体" w:eastAsia="宋体" w:cs="宋体"/>
          <w:b/>
          <w:color w:val="auto"/>
          <w:spacing w:val="14"/>
          <w:sz w:val="44"/>
          <w:szCs w:val="44"/>
          <w:highlight w:val="none"/>
        </w:rPr>
        <w:t>电子招投标特别提示</w:t>
      </w:r>
    </w:p>
    <w:p w14:paraId="1597A89C">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一、投标人（供应商）注册</w:t>
      </w:r>
    </w:p>
    <w:p w14:paraId="5B8F6235">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凡有意参加本项目的投标人（供应商），请</w:t>
      </w:r>
      <w:r>
        <w:rPr>
          <w:rFonts w:hint="eastAsia" w:ascii="宋体" w:hAnsi="宋体" w:eastAsia="宋体" w:cs="宋体"/>
          <w:color w:val="auto"/>
          <w:sz w:val="21"/>
          <w:szCs w:val="21"/>
          <w:highlight w:val="none"/>
          <w:lang w:eastAsia="zh-CN"/>
        </w:rPr>
        <w:t>登录</w:t>
      </w:r>
      <w:r>
        <w:rPr>
          <w:rFonts w:hint="eastAsia" w:ascii="宋体" w:hAnsi="宋体" w:eastAsia="宋体" w:cs="宋体"/>
          <w:color w:val="auto"/>
          <w:sz w:val="21"/>
          <w:szCs w:val="21"/>
          <w:highlight w:val="none"/>
        </w:rPr>
        <w:t>“全国公共资源交易平台（河南省·信阳市）（</w:t>
      </w:r>
      <w:r>
        <w:rPr>
          <w:rFonts w:hint="eastAsia" w:ascii="宋体" w:hAnsi="宋体" w:eastAsia="宋体" w:cs="宋体"/>
          <w:color w:val="auto"/>
          <w:sz w:val="21"/>
          <w:szCs w:val="21"/>
          <w:highlight w:val="none"/>
          <w:lang w:eastAsia="zh-CN"/>
        </w:rPr>
        <w:t>https://ggzyjy.xinyang.gov.cn/</w:t>
      </w:r>
      <w:r>
        <w:rPr>
          <w:rFonts w:hint="eastAsia" w:ascii="宋体" w:hAnsi="宋体" w:eastAsia="宋体" w:cs="宋体"/>
          <w:color w:val="auto"/>
          <w:sz w:val="21"/>
          <w:szCs w:val="21"/>
          <w:highlight w:val="none"/>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0F03A323">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二、办理CA数字证书</w:t>
      </w:r>
    </w:p>
    <w:p w14:paraId="512153EF">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企业诚信库注册后，必须办理CA数字证书方可在网上办理招投标相关业务。投标人（供应商）根据《信阳市公共资源交易网》左侧下载中心有关办理CA数字证书的要求，准备好CA办理所需资料，到信阳市公共资源交易中心</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楼CA窗口现场办理CA数字证书。</w:t>
      </w:r>
    </w:p>
    <w:p w14:paraId="00EE7511">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三、招标（采购）文件获取方式</w:t>
      </w:r>
    </w:p>
    <w:p w14:paraId="1D9B76CC">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投标人（供应商）凭CA数字证书登</w:t>
      </w:r>
      <w:r>
        <w:rPr>
          <w:rFonts w:hint="eastAsia" w:ascii="宋体" w:hAnsi="宋体" w:cs="宋体"/>
          <w:color w:val="auto"/>
          <w:sz w:val="21"/>
          <w:szCs w:val="21"/>
          <w:highlight w:val="none"/>
          <w:lang w:val="en-US" w:eastAsia="zh-CN"/>
        </w:rPr>
        <w:t>录</w:t>
      </w:r>
      <w:r>
        <w:rPr>
          <w:rFonts w:hint="eastAsia" w:ascii="宋体" w:hAnsi="宋体" w:eastAsia="宋体" w:cs="宋体"/>
          <w:color w:val="auto"/>
          <w:sz w:val="21"/>
          <w:szCs w:val="21"/>
          <w:highlight w:val="none"/>
        </w:rPr>
        <w:t>会员系统后，即可按网上提示免费下载招标（采购）文件及资料（操作程序详见信阳市公共资源交易中心网站下载中心栏目里投标人操作手册）。招标文件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*.XYZF格式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下载后需使用“信阳市投标文件制作工具软件”打开（该工具软件可在“全国公共资源交易平台（河南省·信阳市）（</w:t>
      </w:r>
      <w:r>
        <w:rPr>
          <w:rFonts w:hint="eastAsia" w:ascii="宋体" w:hAnsi="宋体" w:eastAsia="宋体" w:cs="宋体"/>
          <w:color w:val="auto"/>
          <w:sz w:val="21"/>
          <w:szCs w:val="21"/>
          <w:highlight w:val="none"/>
          <w:lang w:eastAsia="zh-CN"/>
        </w:rPr>
        <w:t>https://ggzyjy.xinyang.gov.cn/</w:t>
      </w:r>
      <w:r>
        <w:rPr>
          <w:rFonts w:hint="eastAsia" w:ascii="宋体" w:hAnsi="宋体" w:eastAsia="宋体" w:cs="宋体"/>
          <w:color w:val="auto"/>
          <w:sz w:val="21"/>
          <w:szCs w:val="21"/>
          <w:highlight w:val="none"/>
        </w:rPr>
        <w:t>）”网站下载中心栏目内下载或在招标文件领取页面下载）。</w:t>
      </w:r>
    </w:p>
    <w:p w14:paraId="6B7E24B7">
      <w:pPr>
        <w:keepNext w:val="0"/>
        <w:keepLines w:val="0"/>
        <w:pageBreakBefore w:val="0"/>
        <w:tabs>
          <w:tab w:val="left" w:pos="0"/>
        </w:tabs>
        <w:kinsoku/>
        <w:wordWrap/>
        <w:overflowPunct/>
        <w:topLinePunct w:val="0"/>
        <w:autoSpaceDE/>
        <w:autoSpaceDN/>
        <w:bidi w:val="0"/>
        <w:spacing w:line="400" w:lineRule="exact"/>
        <w:textAlignment w:val="auto"/>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四、投标（响应）文件制作</w:t>
      </w:r>
    </w:p>
    <w:p w14:paraId="23AFF219">
      <w:pPr>
        <w:keepNext w:val="0"/>
        <w:keepLines w:val="0"/>
        <w:pageBreakBefore w:val="0"/>
        <w:tabs>
          <w:tab w:val="left" w:pos="0"/>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投标（响应）文件应使用信阳市公共资源交易系统投标文件制作专用工具软件编制，投标（响应）文件格式为“*.XYTF”。</w:t>
      </w:r>
    </w:p>
    <w:p w14:paraId="5D74D588">
      <w:pPr>
        <w:keepNext w:val="0"/>
        <w:keepLines w:val="0"/>
        <w:pageBreakBefore w:val="0"/>
        <w:tabs>
          <w:tab w:val="left" w:pos="0"/>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投标人（供应商）须在投标（响应）文件递交截止时间前制作并提交。</w:t>
      </w:r>
    </w:p>
    <w:p w14:paraId="65A5BCAF">
      <w:pPr>
        <w:pStyle w:val="7"/>
        <w:keepNext w:val="0"/>
        <w:keepLines w:val="0"/>
        <w:pageBreakBefore w:val="0"/>
        <w:kinsoku/>
        <w:wordWrap/>
        <w:overflowPunct/>
        <w:topLinePunct w:val="0"/>
        <w:autoSpaceDE/>
        <w:autoSpaceDN/>
        <w:bidi w:val="0"/>
        <w:spacing w:after="0" w:afterLines="0"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u w:val="double"/>
        </w:rPr>
        <w:t>五、投标（响应）文件的签字和盖章要求</w:t>
      </w:r>
    </w:p>
    <w:p w14:paraId="0072789F">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1、投标文件（响应）格式中所有要求投标人（供应商）加盖公章的地方都须加盖投标人（供应商）的 CA 印章。</w:t>
      </w:r>
    </w:p>
    <w:p w14:paraId="2E81E92A">
      <w:pPr>
        <w:keepNext w:val="0"/>
        <w:keepLines w:val="0"/>
        <w:pageBreakBefore w:val="0"/>
        <w:kinsoku/>
        <w:wordWrap/>
        <w:overflowPunct/>
        <w:topLinePunct w:val="0"/>
        <w:autoSpaceDE/>
        <w:autoSpaceDN/>
        <w:bidi w:val="0"/>
        <w:adjustRightInd w:val="0"/>
        <w:snapToGrid w:val="0"/>
        <w:spacing w:line="400" w:lineRule="exact"/>
        <w:ind w:left="-126" w:leftChars="-60" w:firstLine="525" w:firstLineChars="25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2、投标文件（响应）格式中所有要求法定代表人或其委托代理人签字或盖章的地方</w:t>
      </w:r>
      <w:r>
        <w:rPr>
          <w:rFonts w:hint="eastAsia" w:ascii="宋体" w:hAnsi="宋体" w:eastAsia="宋体" w:cs="宋体"/>
          <w:b/>
          <w:bCs/>
          <w:color w:val="auto"/>
          <w:sz w:val="21"/>
          <w:szCs w:val="21"/>
          <w:highlight w:val="none"/>
        </w:rPr>
        <w:t>（不含授权委托书委托人签字）</w:t>
      </w:r>
      <w:r>
        <w:rPr>
          <w:rFonts w:hint="eastAsia" w:ascii="宋体" w:hAnsi="宋体" w:eastAsia="宋体" w:cs="宋体"/>
          <w:color w:val="auto"/>
          <w:sz w:val="21"/>
          <w:szCs w:val="21"/>
          <w:highlight w:val="none"/>
        </w:rPr>
        <w:t>都须加盖法定代表人</w:t>
      </w:r>
      <w:r>
        <w:rPr>
          <w:rFonts w:hint="eastAsia" w:ascii="宋体" w:hAnsi="宋体" w:eastAsia="宋体" w:cs="宋体"/>
          <w:b/>
          <w:bCs/>
          <w:color w:val="auto"/>
          <w:sz w:val="21"/>
          <w:szCs w:val="21"/>
          <w:highlight w:val="none"/>
        </w:rPr>
        <w:t>CA 印章。</w:t>
      </w:r>
    </w:p>
    <w:p w14:paraId="3AEFD190">
      <w:pPr>
        <w:pStyle w:val="7"/>
        <w:keepNext w:val="0"/>
        <w:keepLines w:val="0"/>
        <w:pageBreakBefore w:val="0"/>
        <w:kinsoku/>
        <w:wordWrap/>
        <w:overflowPunct/>
        <w:topLinePunct w:val="0"/>
        <w:autoSpaceDE/>
        <w:autoSpaceDN/>
        <w:bidi w:val="0"/>
        <w:spacing w:after="0" w:afterLines="0" w:line="400" w:lineRule="exact"/>
        <w:textAlignment w:val="auto"/>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六、投标文件份数</w:t>
      </w:r>
    </w:p>
    <w:p w14:paraId="6DA41F9D">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加密的电子投标（响应）文件壹份（*.XYTF 格式，在会员系统指定位置上传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9E91D35">
      <w:pPr>
        <w:pStyle w:val="7"/>
        <w:keepNext w:val="0"/>
        <w:keepLines w:val="0"/>
        <w:pageBreakBefore w:val="0"/>
        <w:kinsoku/>
        <w:wordWrap/>
        <w:overflowPunct/>
        <w:topLinePunct w:val="0"/>
        <w:autoSpaceDE/>
        <w:autoSpaceDN/>
        <w:bidi w:val="0"/>
        <w:spacing w:after="0" w:afterLines="0" w:line="400" w:lineRule="exact"/>
        <w:textAlignment w:val="auto"/>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七、投标（响应）文件的递交</w:t>
      </w:r>
    </w:p>
    <w:p w14:paraId="2BD76507">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1、电子投标（响应）文件的递交</w:t>
      </w:r>
    </w:p>
    <w:p w14:paraId="1487D41B">
      <w:pPr>
        <w:keepNext w:val="0"/>
        <w:keepLines w:val="0"/>
        <w:pageBreakBefore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69FCF2A0">
      <w:pPr>
        <w:keepNext w:val="0"/>
        <w:keepLines w:val="0"/>
        <w:pageBreakBefore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、除电子投标（响应）文件外，不再接受任何纸质文件、资料原件等。</w:t>
      </w:r>
    </w:p>
    <w:p w14:paraId="0D30775F">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八、澄清与变更</w:t>
      </w:r>
    </w:p>
    <w:p w14:paraId="622AB6FA">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0F5740F9">
      <w:pPr>
        <w:keepNext w:val="0"/>
        <w:keepLines w:val="0"/>
        <w:pageBreakBefore w:val="0"/>
        <w:widowControl/>
        <w:numPr>
          <w:ilvl w:val="0"/>
          <w:numId w:val="1"/>
        </w:numPr>
        <w:kinsoku/>
        <w:wordWrap/>
        <w:overflowPunct/>
        <w:topLinePunct w:val="0"/>
        <w:autoSpaceDE/>
        <w:autoSpaceDN/>
        <w:bidi w:val="0"/>
        <w:spacing w:line="400" w:lineRule="exact"/>
        <w:jc w:val="left"/>
        <w:textAlignment w:val="auto"/>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 xml:space="preserve">其他注意事项 </w:t>
      </w:r>
    </w:p>
    <w:p w14:paraId="2BC61D72">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ascii="宋体" w:hAnsi="宋体" w:cs="宋体"/>
          <w:b/>
          <w:bCs/>
          <w:sz w:val="21"/>
          <w:szCs w:val="21"/>
          <w:u w:val="double"/>
        </w:rPr>
      </w:pPr>
      <w:r>
        <w:rPr>
          <w:rFonts w:hint="eastAsia" w:ascii="宋体" w:hAnsi="宋体" w:cs="宋体"/>
          <w:b/>
          <w:bCs/>
          <w:sz w:val="21"/>
          <w:szCs w:val="21"/>
          <w:u w:val="double"/>
        </w:rPr>
        <w:t xml:space="preserve">1、供应商编制投标文件时，涉及的营业执照、资质、获奖、社保、纳税等固定内容可在交易中心主体信用信息中录入。 </w:t>
      </w:r>
    </w:p>
    <w:p w14:paraId="6A645A0E">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ascii="宋体" w:hAnsi="宋体" w:cs="宋体"/>
          <w:b/>
          <w:bCs/>
          <w:sz w:val="21"/>
          <w:szCs w:val="21"/>
          <w:u w:val="double"/>
        </w:rPr>
      </w:pPr>
      <w:r>
        <w:rPr>
          <w:rFonts w:hint="eastAsia" w:ascii="宋体" w:hAnsi="宋体" w:cs="宋体"/>
          <w:b/>
          <w:bCs/>
          <w:sz w:val="21"/>
          <w:szCs w:val="21"/>
          <w:u w:val="double"/>
        </w:rPr>
        <w:t>2、供应商编制投标文件时，涉及营业执照、资质、业绩、获奖、人员、财务、社保、纳税、各类证书等内容，须扫描编制在投标文件内。评委评审只需依法对投标文件进行评审，并以投标文件的响应为唯一评审依据，不再比对主体信用信息。</w:t>
      </w:r>
    </w:p>
    <w:p w14:paraId="4797A77C">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宋体" w:hAnsi="宋体" w:eastAsia="宋体" w:cs="宋体"/>
          <w:b/>
          <w:bCs/>
          <w:color w:val="auto"/>
          <w:sz w:val="21"/>
          <w:szCs w:val="21"/>
          <w:highlight w:val="none"/>
          <w:u w:val="double"/>
          <w:lang w:val="en-US" w:eastAsia="zh-CN"/>
        </w:rPr>
      </w:pPr>
      <w:r>
        <w:rPr>
          <w:rFonts w:hint="eastAsia" w:ascii="宋体" w:hAnsi="宋体" w:cs="宋体"/>
          <w:b/>
          <w:bCs/>
          <w:color w:val="auto"/>
          <w:sz w:val="21"/>
          <w:szCs w:val="21"/>
          <w:highlight w:val="none"/>
          <w:u w:val="double"/>
          <w:lang w:val="en-US" w:eastAsia="zh-CN"/>
        </w:rPr>
        <w:t>3、</w:t>
      </w:r>
      <w:r>
        <w:rPr>
          <w:rFonts w:hint="eastAsia" w:ascii="宋体" w:hAnsi="宋体" w:eastAsia="宋体" w:cs="宋体"/>
          <w:b/>
          <w:bCs/>
          <w:color w:val="auto"/>
          <w:sz w:val="21"/>
          <w:szCs w:val="21"/>
          <w:highlight w:val="none"/>
          <w:u w:val="double"/>
          <w:lang w:val="en-US" w:eastAsia="zh-CN"/>
        </w:rPr>
        <w:t>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777F1154">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u w:val="double"/>
        </w:rPr>
        <w:t>十、特别提醒</w:t>
      </w:r>
    </w:p>
    <w:p w14:paraId="42FAE0D1">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b/>
          <w:bCs/>
          <w:color w:val="auto"/>
          <w:sz w:val="21"/>
          <w:szCs w:val="21"/>
          <w:highlight w:val="none"/>
          <w:u w:val="double"/>
          <w:lang w:val="en-US" w:eastAsia="zh-CN"/>
        </w:rPr>
      </w:pPr>
      <w:r>
        <w:rPr>
          <w:rFonts w:hint="eastAsia" w:ascii="宋体" w:hAnsi="宋体" w:cs="宋体"/>
          <w:b/>
          <w:bCs/>
          <w:color w:val="auto"/>
          <w:sz w:val="21"/>
          <w:szCs w:val="21"/>
          <w:highlight w:val="none"/>
          <w:u w:val="double"/>
          <w:lang w:val="en-US" w:eastAsia="zh-CN"/>
        </w:rPr>
        <w:t xml:space="preserve">    </w:t>
      </w:r>
      <w:r>
        <w:rPr>
          <w:rFonts w:hint="eastAsia" w:ascii="宋体" w:hAnsi="宋体" w:eastAsia="宋体" w:cs="宋体"/>
          <w:b/>
          <w:bCs/>
          <w:color w:val="auto"/>
          <w:sz w:val="21"/>
          <w:szCs w:val="21"/>
          <w:highlight w:val="none"/>
          <w:u w:val="double"/>
          <w:lang w:val="en-US" w:eastAsia="zh-CN"/>
        </w:rPr>
        <w:t>投标文件中的扫描件，在确保清晰的前提下，每张最好控制在 500kb 内，生成的加密电子投标文件最好不要超过50MB。</w:t>
      </w:r>
    </w:p>
    <w:p w14:paraId="6FDE474C">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b/>
          <w:bCs/>
          <w:color w:val="auto"/>
          <w:sz w:val="10"/>
          <w:szCs w:val="10"/>
          <w:highlight w:val="none"/>
        </w:rPr>
      </w:pPr>
      <w:r>
        <w:rPr>
          <w:rFonts w:hint="eastAsia" w:ascii="宋体" w:hAnsi="宋体" w:eastAsia="宋体" w:cs="宋体"/>
          <w:b/>
          <w:bCs/>
          <w:color w:val="auto"/>
          <w:sz w:val="21"/>
          <w:szCs w:val="21"/>
          <w:highlight w:val="none"/>
          <w:u w:val="double"/>
          <w:lang w:val="en-US" w:eastAsia="zh-CN"/>
        </w:rPr>
        <w:br w:type="page"/>
      </w:r>
      <w:r>
        <w:rPr>
          <w:rFonts w:hint="eastAsia" w:ascii="宋体" w:hAnsi="宋体" w:eastAsia="宋体" w:cs="宋体"/>
          <w:b/>
          <w:bCs/>
          <w:color w:val="auto"/>
          <w:sz w:val="32"/>
          <w:szCs w:val="32"/>
          <w:highlight w:val="none"/>
        </w:rPr>
        <w:t>第一章 招标公告</w:t>
      </w:r>
      <w:bookmarkEnd w:id="0"/>
    </w:p>
    <w:bookmarkEnd w:id="1"/>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0"/>
      </w:tblGrid>
      <w:tr w14:paraId="664A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9460" w:type="dxa"/>
            <w:noWrap w:val="0"/>
            <w:vAlign w:val="top"/>
          </w:tcPr>
          <w:p w14:paraId="0E4C8E49">
            <w:pPr>
              <w:keepLines w:val="0"/>
              <w:pageBreakBefore w:val="0"/>
              <w:kinsoku/>
              <w:wordWrap/>
              <w:overflowPunct/>
              <w:topLinePunct w:val="0"/>
              <w:autoSpaceDE w:val="0"/>
              <w:autoSpaceDN w:val="0"/>
              <w:bidi w:val="0"/>
              <w:adjustRightInd/>
              <w:snapToGrid/>
              <w:spacing w:line="400" w:lineRule="exact"/>
              <w:ind w:left="103"/>
              <w:jc w:val="left"/>
              <w:textAlignment w:val="auto"/>
              <w:rPr>
                <w:rFonts w:hint="eastAsia" w:ascii="宋体" w:hAnsi="宋体" w:eastAsia="宋体" w:cs="宋体"/>
                <w:color w:val="auto"/>
                <w:sz w:val="21"/>
                <w:szCs w:val="21"/>
                <w:highlight w:val="none"/>
                <w:lang w:val="zh-CN" w:bidi="zh-CN"/>
              </w:rPr>
            </w:pPr>
            <w:bookmarkStart w:id="2" w:name="OLE_LINK1"/>
            <w:bookmarkStart w:id="3" w:name="_Toc414956949"/>
            <w:bookmarkStart w:id="4" w:name="_Toc20745"/>
            <w:r>
              <w:rPr>
                <w:rFonts w:hint="eastAsia" w:ascii="宋体" w:hAnsi="宋体" w:eastAsia="宋体" w:cs="宋体"/>
                <w:color w:val="auto"/>
                <w:sz w:val="21"/>
                <w:szCs w:val="21"/>
                <w:highlight w:val="none"/>
                <w:lang w:val="zh-CN" w:bidi="zh-CN"/>
              </w:rPr>
              <w:t xml:space="preserve">项目概况 </w:t>
            </w:r>
          </w:p>
          <w:p w14:paraId="4C26F347">
            <w:pPr>
              <w:keepLines w:val="0"/>
              <w:pageBreakBefore w:val="0"/>
              <w:kinsoku/>
              <w:wordWrap/>
              <w:overflowPunct/>
              <w:topLinePunct w:val="0"/>
              <w:autoSpaceDE w:val="0"/>
              <w:autoSpaceDN w:val="0"/>
              <w:bidi w:val="0"/>
              <w:adjustRightInd/>
              <w:snapToGrid/>
              <w:spacing w:line="400" w:lineRule="exact"/>
              <w:ind w:left="103" w:right="97" w:firstLine="482"/>
              <w:jc w:val="left"/>
              <w:textAlignment w:val="auto"/>
              <w:rPr>
                <w:rFonts w:hint="eastAsia" w:ascii="宋体" w:hAnsi="宋体" w:eastAsia="宋体" w:cs="宋体"/>
                <w:color w:val="auto"/>
                <w:sz w:val="21"/>
                <w:szCs w:val="21"/>
                <w:highlight w:val="none"/>
                <w:lang w:val="zh-CN" w:bidi="zh-CN"/>
              </w:rPr>
            </w:pPr>
            <w:r>
              <w:rPr>
                <w:rFonts w:hint="default" w:ascii="宋体" w:hAnsi="宋体" w:cs="宋体"/>
                <w:color w:val="auto"/>
                <w:sz w:val="21"/>
                <w:szCs w:val="21"/>
                <w:highlight w:val="none"/>
                <w:u w:val="single"/>
                <w:lang w:val="en-US" w:bidi="zh-CN"/>
              </w:rPr>
              <w:t>信阳市平桥区17个建制乡（镇）环境空气质量自动监测站运维采购项目</w:t>
            </w:r>
            <w:r>
              <w:rPr>
                <w:rFonts w:hint="eastAsia" w:ascii="宋体" w:hAnsi="宋体" w:eastAsia="宋体" w:cs="宋体"/>
                <w:color w:val="auto"/>
                <w:sz w:val="21"/>
                <w:szCs w:val="21"/>
                <w:highlight w:val="none"/>
                <w:lang w:val="zh-CN" w:bidi="zh-CN"/>
              </w:rPr>
              <w:t>招标项目的潜在投标人应在《</w:t>
            </w:r>
            <w:r>
              <w:rPr>
                <w:rFonts w:hint="eastAsia" w:ascii="宋体" w:hAnsi="宋体" w:eastAsia="宋体" w:cs="宋体"/>
                <w:color w:val="auto"/>
                <w:sz w:val="21"/>
                <w:szCs w:val="21"/>
                <w:highlight w:val="none"/>
                <w:u w:val="single"/>
                <w:lang w:val="zh-CN" w:bidi="zh-CN"/>
              </w:rPr>
              <w:t>全国公共资源交易平台（河南省</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bidi="zh-CN"/>
              </w:rPr>
              <w:t>信阳市</w:t>
            </w:r>
            <w:r>
              <w:rPr>
                <w:rFonts w:hint="eastAsia" w:ascii="宋体" w:hAnsi="宋体" w:eastAsia="宋体" w:cs="宋体"/>
                <w:color w:val="auto"/>
                <w:sz w:val="21"/>
                <w:szCs w:val="21"/>
                <w:highlight w:val="none"/>
                <w:u w:val="single"/>
                <w:lang w:val="zh-CN" w:bidi="zh-CN"/>
              </w:rPr>
              <w:t>）》</w:t>
            </w:r>
            <w:r>
              <w:rPr>
                <w:rFonts w:hint="eastAsia" w:ascii="宋体" w:hAnsi="宋体" w:eastAsia="宋体" w:cs="宋体"/>
                <w:color w:val="auto"/>
                <w:sz w:val="21"/>
                <w:szCs w:val="21"/>
                <w:highlight w:val="none"/>
                <w:lang w:val="zh-CN" w:bidi="zh-CN"/>
              </w:rPr>
              <w:t xml:space="preserve">网站获取招标文件，并于 </w:t>
            </w:r>
            <w:r>
              <w:rPr>
                <w:rFonts w:hint="eastAsia" w:ascii="宋体" w:hAnsi="宋体" w:eastAsia="宋体" w:cs="宋体"/>
                <w:color w:val="auto"/>
                <w:sz w:val="21"/>
                <w:szCs w:val="21"/>
                <w:highlight w:val="none"/>
                <w:u w:val="single"/>
                <w:lang w:val="zh-CN" w:bidi="zh-CN"/>
              </w:rPr>
              <w:t>202</w:t>
            </w:r>
            <w:r>
              <w:rPr>
                <w:rFonts w:hint="eastAsia" w:ascii="宋体" w:hAnsi="宋体" w:cs="宋体"/>
                <w:color w:val="auto"/>
                <w:sz w:val="21"/>
                <w:szCs w:val="21"/>
                <w:highlight w:val="none"/>
                <w:u w:val="single"/>
                <w:lang w:val="en-US" w:bidi="zh-CN"/>
              </w:rPr>
              <w:t>6</w:t>
            </w:r>
            <w:r>
              <w:rPr>
                <w:rFonts w:hint="eastAsia" w:ascii="宋体" w:hAnsi="宋体" w:eastAsia="宋体" w:cs="宋体"/>
                <w:color w:val="auto"/>
                <w:sz w:val="21"/>
                <w:szCs w:val="21"/>
                <w:highlight w:val="none"/>
                <w:lang w:val="zh-CN" w:bidi="zh-CN"/>
              </w:rPr>
              <w:t>年</w:t>
            </w:r>
            <w:r>
              <w:rPr>
                <w:rFonts w:hint="eastAsia" w:ascii="宋体" w:hAnsi="宋体" w:eastAsia="宋体" w:cs="宋体"/>
                <w:color w:val="auto"/>
                <w:sz w:val="21"/>
                <w:szCs w:val="21"/>
                <w:highlight w:val="none"/>
                <w:u w:val="single"/>
                <w:lang w:val="en-US" w:bidi="zh-CN"/>
              </w:rPr>
              <w:t xml:space="preserve"> </w:t>
            </w:r>
            <w:r>
              <w:rPr>
                <w:rFonts w:hint="default" w:ascii="宋体" w:hAnsi="宋体" w:cs="宋体"/>
                <w:color w:val="auto"/>
                <w:sz w:val="21"/>
                <w:szCs w:val="21"/>
                <w:highlight w:val="none"/>
                <w:u w:val="single"/>
                <w:lang w:val="en-US" w:bidi="zh-CN"/>
              </w:rPr>
              <w:t>3</w:t>
            </w:r>
            <w:r>
              <w:rPr>
                <w:rFonts w:hint="eastAsia" w:ascii="宋体" w:hAnsi="宋体" w:eastAsia="宋体" w:cs="宋体"/>
                <w:color w:val="auto"/>
                <w:sz w:val="21"/>
                <w:szCs w:val="21"/>
                <w:highlight w:val="none"/>
                <w:u w:val="single"/>
                <w:lang w:val="en-US" w:bidi="zh-CN"/>
              </w:rPr>
              <w:t xml:space="preserve"> </w:t>
            </w:r>
            <w:r>
              <w:rPr>
                <w:rFonts w:hint="eastAsia" w:ascii="宋体" w:hAnsi="宋体" w:eastAsia="宋体" w:cs="宋体"/>
                <w:color w:val="auto"/>
                <w:sz w:val="21"/>
                <w:szCs w:val="21"/>
                <w:highlight w:val="none"/>
                <w:lang w:val="zh-CN" w:bidi="zh-CN"/>
              </w:rPr>
              <w:t>月</w:t>
            </w:r>
            <w:r>
              <w:rPr>
                <w:rFonts w:hint="eastAsia" w:ascii="宋体" w:hAnsi="宋体" w:eastAsia="宋体" w:cs="宋体"/>
                <w:color w:val="auto"/>
                <w:sz w:val="21"/>
                <w:szCs w:val="21"/>
                <w:highlight w:val="none"/>
                <w:u w:val="single"/>
                <w:lang w:val="en-US" w:bidi="zh-CN"/>
              </w:rPr>
              <w:t xml:space="preserve"> </w:t>
            </w:r>
            <w:r>
              <w:rPr>
                <w:rFonts w:hint="default" w:ascii="宋体" w:hAnsi="宋体" w:cs="宋体"/>
                <w:color w:val="auto"/>
                <w:sz w:val="21"/>
                <w:szCs w:val="21"/>
                <w:highlight w:val="none"/>
                <w:u w:val="single"/>
                <w:lang w:val="en-US" w:bidi="zh-CN"/>
              </w:rPr>
              <w:t>6</w:t>
            </w:r>
            <w:r>
              <w:rPr>
                <w:rFonts w:hint="eastAsia" w:ascii="宋体" w:hAnsi="宋体" w:eastAsia="宋体" w:cs="宋体"/>
                <w:color w:val="auto"/>
                <w:sz w:val="21"/>
                <w:szCs w:val="21"/>
                <w:highlight w:val="none"/>
                <w:u w:val="single"/>
                <w:lang w:val="en-US" w:bidi="zh-CN"/>
              </w:rPr>
              <w:t xml:space="preserve"> </w:t>
            </w:r>
            <w:r>
              <w:rPr>
                <w:rFonts w:hint="eastAsia" w:ascii="宋体" w:hAnsi="宋体" w:eastAsia="宋体" w:cs="宋体"/>
                <w:color w:val="auto"/>
                <w:sz w:val="21"/>
                <w:szCs w:val="21"/>
                <w:highlight w:val="none"/>
                <w:lang w:val="zh-CN" w:bidi="zh-CN"/>
              </w:rPr>
              <w:t>日</w:t>
            </w:r>
            <w:r>
              <w:rPr>
                <w:rFonts w:hint="eastAsia" w:ascii="宋体" w:hAnsi="宋体" w:eastAsia="宋体" w:cs="宋体"/>
                <w:color w:val="auto"/>
                <w:sz w:val="21"/>
                <w:szCs w:val="21"/>
                <w:highlight w:val="none"/>
                <w:u w:val="single"/>
                <w:lang w:bidi="zh-CN"/>
              </w:rPr>
              <w:t xml:space="preserve"> 9 </w:t>
            </w:r>
            <w:r>
              <w:rPr>
                <w:rFonts w:hint="eastAsia" w:ascii="宋体" w:hAnsi="宋体" w:eastAsia="宋体" w:cs="宋体"/>
                <w:color w:val="auto"/>
                <w:sz w:val="21"/>
                <w:szCs w:val="21"/>
                <w:highlight w:val="none"/>
                <w:lang w:val="zh-CN" w:bidi="zh-CN"/>
              </w:rPr>
              <w:t>点</w:t>
            </w:r>
            <w:r>
              <w:rPr>
                <w:rFonts w:hint="eastAsia" w:ascii="宋体" w:hAnsi="宋体" w:eastAsia="宋体" w:cs="宋体"/>
                <w:color w:val="auto"/>
                <w:sz w:val="21"/>
                <w:szCs w:val="21"/>
                <w:highlight w:val="none"/>
                <w:u w:val="single"/>
                <w:lang w:bidi="zh-CN"/>
              </w:rPr>
              <w:t xml:space="preserve"> </w:t>
            </w:r>
            <w:r>
              <w:rPr>
                <w:rFonts w:hint="eastAsia" w:ascii="宋体" w:hAnsi="宋体" w:cs="宋体"/>
                <w:color w:val="auto"/>
                <w:sz w:val="21"/>
                <w:szCs w:val="21"/>
                <w:highlight w:val="none"/>
                <w:u w:val="single"/>
                <w:lang w:val="en-US" w:bidi="zh-CN"/>
              </w:rPr>
              <w:t>0</w:t>
            </w:r>
            <w:r>
              <w:rPr>
                <w:rFonts w:hint="eastAsia" w:ascii="宋体" w:hAnsi="宋体" w:eastAsia="宋体" w:cs="宋体"/>
                <w:color w:val="auto"/>
                <w:sz w:val="21"/>
                <w:szCs w:val="21"/>
                <w:highlight w:val="none"/>
                <w:u w:val="single"/>
                <w:lang w:bidi="zh-CN"/>
              </w:rPr>
              <w:t xml:space="preserve">0 </w:t>
            </w:r>
            <w:r>
              <w:rPr>
                <w:rFonts w:hint="eastAsia" w:ascii="宋体" w:hAnsi="宋体" w:eastAsia="宋体" w:cs="宋体"/>
                <w:color w:val="auto"/>
                <w:sz w:val="21"/>
                <w:szCs w:val="21"/>
                <w:highlight w:val="none"/>
                <w:lang w:val="zh-CN" w:bidi="zh-CN"/>
              </w:rPr>
              <w:t>分（北京时间）前递交投标文件。</w:t>
            </w:r>
          </w:p>
        </w:tc>
      </w:tr>
    </w:tbl>
    <w:p w14:paraId="6EF12E77">
      <w:pPr>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36ACB802">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1.项目编号</w:t>
      </w:r>
      <w:r>
        <w:rPr>
          <w:rFonts w:hint="eastAsia" w:ascii="宋体" w:hAnsi="宋体" w:eastAsia="宋体" w:cs="宋体"/>
          <w:bCs/>
          <w:color w:val="0000FF"/>
          <w:sz w:val="21"/>
          <w:szCs w:val="21"/>
          <w:highlight w:val="none"/>
        </w:rPr>
        <w:t>：</w:t>
      </w:r>
      <w:r>
        <w:rPr>
          <w:rFonts w:hint="eastAsia" w:ascii="宋体" w:hAnsi="宋体" w:eastAsia="宋体" w:cs="宋体"/>
          <w:bCs/>
          <w:color w:val="auto"/>
          <w:sz w:val="21"/>
          <w:szCs w:val="21"/>
          <w:highlight w:val="none"/>
          <w:lang w:eastAsia="zh-CN"/>
        </w:rPr>
        <w:t>信财公开招标</w:t>
      </w:r>
      <w:r>
        <w:rPr>
          <w:rFonts w:hint="eastAsia" w:ascii="宋体" w:hAnsi="宋体" w:eastAsia="宋体" w:cs="宋体"/>
          <w:bCs/>
          <w:color w:val="auto"/>
          <w:sz w:val="21"/>
          <w:szCs w:val="21"/>
          <w:highlight w:val="none"/>
          <w:lang w:val="en-US" w:eastAsia="zh-CN"/>
        </w:rPr>
        <w:t>-202</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w:t>
      </w:r>
      <w:r>
        <w:rPr>
          <w:rFonts w:hint="default" w:ascii="宋体" w:hAnsi="宋体" w:cs="宋体"/>
          <w:bCs/>
          <w:color w:val="auto"/>
          <w:sz w:val="21"/>
          <w:szCs w:val="21"/>
          <w:highlight w:val="none"/>
          <w:lang w:val="en-US" w:eastAsia="zh-CN"/>
        </w:rPr>
        <w:t>16</w:t>
      </w:r>
      <w:r>
        <w:rPr>
          <w:rFonts w:hint="eastAsia" w:ascii="宋体" w:hAnsi="宋体" w:eastAsia="宋体" w:cs="宋体"/>
          <w:bCs/>
          <w:color w:val="auto"/>
          <w:sz w:val="21"/>
          <w:szCs w:val="21"/>
          <w:highlight w:val="none"/>
          <w:lang w:val="en-US" w:eastAsia="zh-CN"/>
        </w:rPr>
        <w:t>；</w:t>
      </w:r>
    </w:p>
    <w:p w14:paraId="0CAA4237">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2.项目名称：</w:t>
      </w:r>
      <w:r>
        <w:rPr>
          <w:rFonts w:hint="default" w:ascii="宋体" w:hAnsi="宋体" w:cs="宋体"/>
          <w:bCs/>
          <w:color w:val="auto"/>
          <w:sz w:val="21"/>
          <w:szCs w:val="21"/>
          <w:highlight w:val="none"/>
          <w:lang w:val="en-US"/>
        </w:rPr>
        <w:t>信阳市平桥区17个建制乡（镇）环境空气质量自动监测站运维采购项目</w:t>
      </w:r>
      <w:r>
        <w:rPr>
          <w:rFonts w:hint="eastAsia" w:ascii="宋体" w:hAnsi="宋体" w:eastAsia="宋体" w:cs="宋体"/>
          <w:bCs/>
          <w:color w:val="auto"/>
          <w:sz w:val="21"/>
          <w:szCs w:val="21"/>
          <w:highlight w:val="none"/>
          <w:lang w:val="zh-CN"/>
        </w:rPr>
        <w:t>；</w:t>
      </w:r>
    </w:p>
    <w:p w14:paraId="14FD01B2">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3.采购方式：公开招标</w:t>
      </w:r>
      <w:r>
        <w:rPr>
          <w:rFonts w:hint="eastAsia" w:ascii="宋体" w:hAnsi="宋体" w:eastAsia="宋体" w:cs="宋体"/>
          <w:bCs/>
          <w:color w:val="auto"/>
          <w:sz w:val="21"/>
          <w:szCs w:val="21"/>
          <w:highlight w:val="none"/>
          <w:lang w:eastAsia="zh-CN"/>
        </w:rPr>
        <w:t>；</w:t>
      </w:r>
    </w:p>
    <w:p w14:paraId="4BAF6269">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预算</w:t>
      </w:r>
      <w:r>
        <w:rPr>
          <w:rFonts w:hint="eastAsia" w:ascii="宋体" w:hAnsi="宋体" w:cs="宋体"/>
          <w:bCs/>
          <w:color w:val="auto"/>
          <w:sz w:val="21"/>
          <w:szCs w:val="21"/>
          <w:highlight w:val="none"/>
          <w:lang w:eastAsia="zh-CN"/>
        </w:rPr>
        <w:t>金额</w:t>
      </w:r>
      <w:r>
        <w:rPr>
          <w:rFonts w:hint="eastAsia" w:ascii="宋体" w:hAnsi="宋体" w:eastAsia="宋体" w:cs="宋体"/>
          <w:bCs/>
          <w:color w:val="auto"/>
          <w:sz w:val="21"/>
          <w:szCs w:val="21"/>
          <w:highlight w:val="none"/>
        </w:rPr>
        <w:t>：4620260</w:t>
      </w:r>
      <w:r>
        <w:rPr>
          <w:rFonts w:hint="eastAsia" w:ascii="宋体" w:hAnsi="宋体" w:cs="宋体"/>
          <w:bCs/>
          <w:color w:val="auto"/>
          <w:sz w:val="21"/>
          <w:szCs w:val="21"/>
          <w:highlight w:val="none"/>
          <w:lang w:val="en-US" w:eastAsia="zh-CN"/>
        </w:rPr>
        <w:t>元</w:t>
      </w:r>
      <w:r>
        <w:rPr>
          <w:rFonts w:hint="eastAsia" w:ascii="宋体" w:hAnsi="宋体" w:eastAsia="宋体" w:cs="宋体"/>
          <w:bCs/>
          <w:color w:val="auto"/>
          <w:sz w:val="21"/>
          <w:szCs w:val="21"/>
          <w:highlight w:val="none"/>
          <w:lang w:eastAsia="zh-CN"/>
        </w:rPr>
        <w:t>；</w:t>
      </w:r>
    </w:p>
    <w:tbl>
      <w:tblPr>
        <w:tblStyle w:val="23"/>
        <w:tblW w:w="495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42"/>
        <w:gridCol w:w="1695"/>
        <w:gridCol w:w="2915"/>
        <w:gridCol w:w="1694"/>
        <w:gridCol w:w="2020"/>
      </w:tblGrid>
      <w:tr w14:paraId="0898AE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459" w:type="pct"/>
            <w:noWrap/>
            <w:vAlign w:val="center"/>
          </w:tcPr>
          <w:p w14:paraId="2E8DCEC0">
            <w:pPr>
              <w:widowControl/>
              <w:spacing w:line="18" w:lineRule="atLeast"/>
              <w:ind w:firstLine="0" w:firstLineChars="0"/>
              <w:jc w:val="center"/>
              <w:rPr>
                <w:rFonts w:hint="eastAsia" w:ascii="宋体" w:hAnsi="宋体" w:eastAsia="宋体" w:cs="宋体"/>
                <w:color w:val="333333"/>
                <w:szCs w:val="21"/>
                <w:highlight w:val="none"/>
              </w:rPr>
            </w:pPr>
            <w:r>
              <w:rPr>
                <w:rFonts w:hint="eastAsia" w:ascii="宋体" w:hAnsi="宋体" w:eastAsia="宋体" w:cs="宋体"/>
                <w:color w:val="333333"/>
                <w:kern w:val="0"/>
                <w:szCs w:val="21"/>
                <w:highlight w:val="none"/>
              </w:rPr>
              <w:t>序号</w:t>
            </w:r>
          </w:p>
        </w:tc>
        <w:tc>
          <w:tcPr>
            <w:tcW w:w="924" w:type="pct"/>
            <w:noWrap/>
            <w:vAlign w:val="center"/>
          </w:tcPr>
          <w:p w14:paraId="52998BAB">
            <w:pPr>
              <w:widowControl/>
              <w:spacing w:line="18" w:lineRule="atLeast"/>
              <w:ind w:firstLine="0" w:firstLineChars="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包号</w:t>
            </w:r>
          </w:p>
        </w:tc>
        <w:tc>
          <w:tcPr>
            <w:tcW w:w="1590" w:type="pct"/>
            <w:noWrap/>
            <w:vAlign w:val="center"/>
          </w:tcPr>
          <w:p w14:paraId="10F183CE">
            <w:pPr>
              <w:widowControl/>
              <w:spacing w:line="18" w:lineRule="atLeast"/>
              <w:ind w:firstLine="0" w:firstLineChars="0"/>
              <w:jc w:val="center"/>
              <w:rPr>
                <w:rFonts w:hint="eastAsia" w:ascii="宋体" w:hAnsi="宋体" w:eastAsia="宋体" w:cs="宋体"/>
                <w:color w:val="333333"/>
                <w:szCs w:val="21"/>
                <w:highlight w:val="none"/>
              </w:rPr>
            </w:pPr>
            <w:r>
              <w:rPr>
                <w:rFonts w:hint="eastAsia" w:ascii="宋体" w:hAnsi="宋体" w:eastAsia="宋体" w:cs="宋体"/>
                <w:color w:val="333333"/>
                <w:kern w:val="0"/>
                <w:szCs w:val="21"/>
                <w:highlight w:val="none"/>
              </w:rPr>
              <w:t>包名称</w:t>
            </w:r>
          </w:p>
        </w:tc>
        <w:tc>
          <w:tcPr>
            <w:tcW w:w="923" w:type="pct"/>
            <w:noWrap/>
            <w:vAlign w:val="center"/>
          </w:tcPr>
          <w:p w14:paraId="5222655A">
            <w:pPr>
              <w:widowControl/>
              <w:spacing w:line="18" w:lineRule="atLeast"/>
              <w:ind w:firstLine="0" w:firstLineChars="0"/>
              <w:jc w:val="center"/>
              <w:rPr>
                <w:rFonts w:hint="eastAsia" w:ascii="宋体" w:hAnsi="宋体" w:eastAsia="宋体" w:cs="宋体"/>
                <w:color w:val="333333"/>
                <w:szCs w:val="21"/>
                <w:highlight w:val="none"/>
              </w:rPr>
            </w:pPr>
            <w:r>
              <w:rPr>
                <w:rFonts w:hint="eastAsia" w:ascii="宋体" w:hAnsi="宋体" w:eastAsia="宋体" w:cs="宋体"/>
                <w:color w:val="333333"/>
                <w:kern w:val="0"/>
                <w:szCs w:val="21"/>
                <w:highlight w:val="none"/>
              </w:rPr>
              <w:t>包预算</w:t>
            </w:r>
            <w:r>
              <w:rPr>
                <w:rFonts w:hint="eastAsia" w:ascii="宋体" w:hAnsi="宋体" w:cs="宋体"/>
                <w:color w:val="333333"/>
                <w:kern w:val="0"/>
                <w:szCs w:val="21"/>
                <w:highlight w:val="none"/>
                <w:lang w:eastAsia="zh-CN"/>
              </w:rPr>
              <w:t>价（元）</w:t>
            </w:r>
          </w:p>
        </w:tc>
        <w:tc>
          <w:tcPr>
            <w:tcW w:w="1101" w:type="pct"/>
            <w:noWrap/>
            <w:vAlign w:val="center"/>
          </w:tcPr>
          <w:p w14:paraId="003573E7">
            <w:pPr>
              <w:widowControl/>
              <w:spacing w:line="18" w:lineRule="atLeast"/>
              <w:ind w:firstLine="0" w:firstLineChars="0"/>
              <w:jc w:val="center"/>
              <w:rPr>
                <w:rFonts w:hint="eastAsia" w:ascii="宋体" w:hAnsi="宋体" w:eastAsia="宋体" w:cs="宋体"/>
                <w:color w:val="333333"/>
                <w:szCs w:val="21"/>
                <w:highlight w:val="none"/>
              </w:rPr>
            </w:pPr>
            <w:r>
              <w:rPr>
                <w:rFonts w:hint="eastAsia" w:ascii="宋体" w:hAnsi="宋体" w:eastAsia="宋体" w:cs="宋体"/>
                <w:color w:val="333333"/>
                <w:kern w:val="0"/>
                <w:szCs w:val="21"/>
                <w:highlight w:val="none"/>
              </w:rPr>
              <w:t>包最高限价（元）</w:t>
            </w:r>
          </w:p>
        </w:tc>
      </w:tr>
      <w:tr w14:paraId="210C7C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459" w:type="pct"/>
            <w:noWrap/>
            <w:vAlign w:val="center"/>
          </w:tcPr>
          <w:p w14:paraId="4995F672">
            <w:pPr>
              <w:widowControl/>
              <w:spacing w:line="18" w:lineRule="atLeast"/>
              <w:ind w:firstLine="0" w:firstLineChars="0"/>
              <w:jc w:val="center"/>
              <w:rPr>
                <w:rFonts w:hint="eastAsia" w:ascii="宋体" w:hAnsi="宋体" w:eastAsia="宋体" w:cs="宋体"/>
                <w:color w:val="333333"/>
                <w:szCs w:val="21"/>
                <w:highlight w:val="none"/>
              </w:rPr>
            </w:pPr>
            <w:r>
              <w:rPr>
                <w:rFonts w:hint="eastAsia" w:ascii="宋体" w:hAnsi="宋体" w:eastAsia="宋体" w:cs="宋体"/>
                <w:color w:val="333333"/>
                <w:kern w:val="0"/>
                <w:szCs w:val="21"/>
                <w:highlight w:val="none"/>
              </w:rPr>
              <w:t>1</w:t>
            </w:r>
          </w:p>
        </w:tc>
        <w:tc>
          <w:tcPr>
            <w:tcW w:w="924" w:type="pct"/>
            <w:noWrap/>
            <w:vAlign w:val="center"/>
          </w:tcPr>
          <w:p w14:paraId="75504040">
            <w:pPr>
              <w:widowControl/>
              <w:spacing w:line="18" w:lineRule="atLeas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信财公开招标-20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default" w:ascii="宋体" w:hAnsi="宋体" w:cs="宋体"/>
                <w:color w:val="auto"/>
                <w:szCs w:val="21"/>
                <w:highlight w:val="none"/>
                <w:lang w:val="en-US"/>
              </w:rPr>
              <w:t>16-1</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tc>
        <w:tc>
          <w:tcPr>
            <w:tcW w:w="1590" w:type="pct"/>
            <w:noWrap/>
            <w:vAlign w:val="center"/>
          </w:tcPr>
          <w:p w14:paraId="6645F7C1">
            <w:pPr>
              <w:widowControl/>
              <w:spacing w:line="18" w:lineRule="atLeast"/>
              <w:ind w:firstLine="0" w:firstLineChars="0"/>
              <w:jc w:val="center"/>
              <w:rPr>
                <w:rFonts w:hint="eastAsia" w:ascii="宋体" w:hAnsi="宋体" w:eastAsia="宋体" w:cs="宋体"/>
                <w:color w:val="333333"/>
                <w:szCs w:val="21"/>
                <w:highlight w:val="none"/>
                <w:lang w:val="en-US" w:eastAsia="zh-CN"/>
              </w:rPr>
            </w:pPr>
            <w:r>
              <w:rPr>
                <w:rFonts w:hint="default" w:ascii="宋体" w:hAnsi="宋体" w:cs="宋体"/>
                <w:bCs/>
                <w:color w:val="auto"/>
                <w:sz w:val="21"/>
                <w:szCs w:val="21"/>
                <w:highlight w:val="none"/>
                <w:lang w:val="en-US"/>
              </w:rPr>
              <w:t>信阳市平桥区17个建制乡（镇）环境空气质量自动监测站运维采购项目</w:t>
            </w:r>
            <w:r>
              <w:rPr>
                <w:rFonts w:hint="eastAsia" w:ascii="宋体" w:hAnsi="宋体" w:cs="宋体"/>
                <w:color w:val="333333"/>
                <w:szCs w:val="21"/>
                <w:highlight w:val="none"/>
                <w:lang w:val="en-US" w:eastAsia="zh-CN"/>
              </w:rPr>
              <w:t>一包</w:t>
            </w:r>
          </w:p>
        </w:tc>
        <w:tc>
          <w:tcPr>
            <w:tcW w:w="923" w:type="pct"/>
            <w:noWrap/>
            <w:vAlign w:val="center"/>
          </w:tcPr>
          <w:p w14:paraId="28A741B3">
            <w:pPr>
              <w:widowControl/>
              <w:spacing w:line="18" w:lineRule="atLeast"/>
              <w:ind w:firstLine="0" w:firstLineChars="0"/>
              <w:jc w:val="center"/>
              <w:rPr>
                <w:rFonts w:hint="default" w:ascii="宋体" w:hAnsi="宋体" w:eastAsia="宋体" w:cs="宋体"/>
                <w:color w:val="000000"/>
                <w:szCs w:val="21"/>
                <w:highlight w:val="none"/>
                <w:lang w:val="en-US"/>
              </w:rPr>
            </w:pPr>
            <w:r>
              <w:rPr>
                <w:rFonts w:hint="eastAsia" w:ascii="宋体" w:hAnsi="宋体" w:cs="宋体"/>
                <w:bCs/>
                <w:color w:val="auto"/>
                <w:sz w:val="21"/>
                <w:szCs w:val="21"/>
                <w:highlight w:val="none"/>
                <w:lang w:val="en-US" w:eastAsia="zh-CN"/>
              </w:rPr>
              <w:t>3261360</w:t>
            </w:r>
          </w:p>
        </w:tc>
        <w:tc>
          <w:tcPr>
            <w:tcW w:w="1101" w:type="pct"/>
            <w:noWrap/>
            <w:vAlign w:val="center"/>
          </w:tcPr>
          <w:p w14:paraId="7EAD0BFF">
            <w:pPr>
              <w:widowControl/>
              <w:spacing w:line="18" w:lineRule="atLeast"/>
              <w:ind w:firstLine="0" w:firstLineChars="0"/>
              <w:jc w:val="center"/>
              <w:rPr>
                <w:rFonts w:hint="eastAsia" w:ascii="宋体" w:hAnsi="宋体" w:eastAsia="宋体" w:cs="宋体"/>
                <w:color w:val="000000"/>
                <w:szCs w:val="21"/>
                <w:highlight w:val="none"/>
                <w:lang w:val="zh-CN"/>
              </w:rPr>
            </w:pPr>
            <w:r>
              <w:rPr>
                <w:rFonts w:hint="eastAsia" w:ascii="宋体" w:hAnsi="宋体" w:cs="宋体"/>
                <w:bCs/>
                <w:color w:val="auto"/>
                <w:sz w:val="21"/>
                <w:szCs w:val="21"/>
                <w:highlight w:val="none"/>
                <w:lang w:val="en-US" w:eastAsia="zh-CN"/>
              </w:rPr>
              <w:t>3261360</w:t>
            </w:r>
          </w:p>
        </w:tc>
      </w:tr>
      <w:tr w14:paraId="1E32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459" w:type="pct"/>
            <w:noWrap/>
            <w:vAlign w:val="center"/>
          </w:tcPr>
          <w:p w14:paraId="70DD98C9">
            <w:pPr>
              <w:widowControl/>
              <w:spacing w:line="18" w:lineRule="atLeast"/>
              <w:ind w:firstLine="0" w:firstLineChars="0"/>
              <w:jc w:val="center"/>
              <w:rPr>
                <w:rFonts w:hint="default" w:ascii="宋体" w:hAnsi="宋体" w:eastAsia="宋体" w:cs="宋体"/>
                <w:color w:val="333333"/>
                <w:kern w:val="0"/>
                <w:szCs w:val="21"/>
                <w:highlight w:val="none"/>
                <w:lang w:val="en-US"/>
              </w:rPr>
            </w:pPr>
            <w:r>
              <w:rPr>
                <w:rFonts w:hint="default" w:ascii="宋体" w:hAnsi="宋体" w:cs="宋体"/>
                <w:color w:val="333333"/>
                <w:kern w:val="0"/>
                <w:szCs w:val="21"/>
                <w:highlight w:val="none"/>
                <w:lang w:val="en-US"/>
              </w:rPr>
              <w:t>2</w:t>
            </w:r>
          </w:p>
        </w:tc>
        <w:tc>
          <w:tcPr>
            <w:tcW w:w="924" w:type="pct"/>
            <w:noWrap/>
            <w:vAlign w:val="center"/>
          </w:tcPr>
          <w:p w14:paraId="6744914F">
            <w:pPr>
              <w:widowControl/>
              <w:spacing w:line="18" w:lineRule="atLeast"/>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信财公开招标-20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default" w:ascii="宋体" w:hAnsi="宋体" w:cs="宋体"/>
                <w:color w:val="auto"/>
                <w:szCs w:val="21"/>
                <w:highlight w:val="none"/>
                <w:lang w:val="en-US"/>
              </w:rPr>
              <w:t>16-2</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tc>
        <w:tc>
          <w:tcPr>
            <w:tcW w:w="1590" w:type="pct"/>
            <w:noWrap/>
            <w:vAlign w:val="center"/>
          </w:tcPr>
          <w:p w14:paraId="34008A31">
            <w:pPr>
              <w:widowControl/>
              <w:spacing w:line="18" w:lineRule="atLeast"/>
              <w:ind w:firstLine="0" w:firstLineChars="0"/>
              <w:jc w:val="center"/>
              <w:rPr>
                <w:rFonts w:hint="eastAsia" w:ascii="宋体" w:hAnsi="宋体" w:eastAsia="宋体" w:cs="宋体"/>
                <w:color w:val="000000"/>
                <w:szCs w:val="21"/>
                <w:highlight w:val="none"/>
                <w:lang w:val="en-US" w:eastAsia="zh-CN"/>
              </w:rPr>
            </w:pPr>
            <w:r>
              <w:rPr>
                <w:rFonts w:hint="default" w:ascii="宋体" w:hAnsi="宋体" w:cs="宋体"/>
                <w:bCs/>
                <w:color w:val="auto"/>
                <w:sz w:val="21"/>
                <w:szCs w:val="21"/>
                <w:highlight w:val="none"/>
                <w:lang w:val="en-US"/>
              </w:rPr>
              <w:t>信阳市平桥区17个建制乡（镇）环境空气质量自动监测站运维采购项目</w:t>
            </w:r>
            <w:r>
              <w:rPr>
                <w:rFonts w:hint="eastAsia" w:ascii="宋体" w:hAnsi="宋体" w:cs="宋体"/>
                <w:color w:val="000000"/>
                <w:szCs w:val="21"/>
                <w:highlight w:val="none"/>
                <w:lang w:val="en-US" w:eastAsia="zh-CN"/>
              </w:rPr>
              <w:t>二包</w:t>
            </w:r>
          </w:p>
        </w:tc>
        <w:tc>
          <w:tcPr>
            <w:tcW w:w="923" w:type="pct"/>
            <w:noWrap/>
            <w:vAlign w:val="center"/>
          </w:tcPr>
          <w:p w14:paraId="7524F65C">
            <w:pPr>
              <w:widowControl/>
              <w:spacing w:line="18" w:lineRule="atLeast"/>
              <w:ind w:firstLine="0" w:firstLineChars="0"/>
              <w:jc w:val="center"/>
              <w:rPr>
                <w:rFonts w:hint="default" w:ascii="宋体" w:hAnsi="宋体" w:eastAsia="宋体" w:cs="宋体"/>
                <w:color w:val="000000"/>
                <w:szCs w:val="21"/>
                <w:highlight w:val="none"/>
                <w:lang w:val="en-US"/>
              </w:rPr>
            </w:pPr>
            <w:r>
              <w:rPr>
                <w:rFonts w:hint="eastAsia" w:ascii="宋体" w:hAnsi="宋体" w:cs="宋体"/>
                <w:bCs/>
                <w:color w:val="auto"/>
                <w:sz w:val="21"/>
                <w:szCs w:val="21"/>
                <w:highlight w:val="none"/>
                <w:lang w:val="en-US" w:eastAsia="zh-CN"/>
              </w:rPr>
              <w:t>1358900</w:t>
            </w:r>
          </w:p>
        </w:tc>
        <w:tc>
          <w:tcPr>
            <w:tcW w:w="1101" w:type="pct"/>
            <w:noWrap/>
            <w:vAlign w:val="center"/>
          </w:tcPr>
          <w:p w14:paraId="1161E253">
            <w:pPr>
              <w:widowControl/>
              <w:spacing w:line="18" w:lineRule="atLeast"/>
              <w:ind w:firstLine="0" w:firstLineChars="0"/>
              <w:jc w:val="center"/>
              <w:rPr>
                <w:rFonts w:hint="eastAsia" w:ascii="宋体" w:hAnsi="宋体" w:eastAsia="宋体" w:cs="宋体"/>
                <w:color w:val="000000"/>
                <w:szCs w:val="21"/>
                <w:highlight w:val="none"/>
                <w:lang w:val="zh-CN"/>
              </w:rPr>
            </w:pPr>
            <w:r>
              <w:rPr>
                <w:rFonts w:hint="eastAsia" w:ascii="宋体" w:hAnsi="宋体" w:cs="宋体"/>
                <w:bCs/>
                <w:color w:val="auto"/>
                <w:sz w:val="21"/>
                <w:szCs w:val="21"/>
                <w:highlight w:val="none"/>
                <w:lang w:val="en-US" w:eastAsia="zh-CN"/>
              </w:rPr>
              <w:t>1358900</w:t>
            </w:r>
          </w:p>
        </w:tc>
      </w:tr>
    </w:tbl>
    <w:p w14:paraId="606B2332">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5.采购需求：（包括但不限于标的的名称、数量、简要技术需求或服务要求等）：</w:t>
      </w:r>
    </w:p>
    <w:p w14:paraId="14EB03A4">
      <w:pPr>
        <w:keepLines w:val="0"/>
        <w:pageBreakBefore w:val="0"/>
        <w:kinsoku/>
        <w:wordWrap/>
        <w:overflowPunct/>
        <w:topLinePunct w:val="0"/>
        <w:bidi w:val="0"/>
        <w:adjustRightInd/>
        <w:snapToGrid/>
        <w:spacing w:line="40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5.1采购内容：</w:t>
      </w:r>
      <w:r>
        <w:rPr>
          <w:rFonts w:hint="eastAsia" w:ascii="宋体" w:hAnsi="宋体" w:cs="宋体"/>
          <w:bCs/>
          <w:color w:val="auto"/>
          <w:sz w:val="21"/>
          <w:szCs w:val="21"/>
          <w:highlight w:val="none"/>
          <w:lang w:val="en-US" w:eastAsia="zh-CN"/>
        </w:rPr>
        <w:t>平桥区</w:t>
      </w:r>
      <w:r>
        <w:rPr>
          <w:rFonts w:hint="eastAsia" w:ascii="宋体" w:hAnsi="宋体" w:cs="宋体"/>
          <w:bCs/>
          <w:color w:val="auto"/>
          <w:sz w:val="21"/>
          <w:szCs w:val="21"/>
          <w:highlight w:val="none"/>
          <w:lang w:val="zh-CN"/>
        </w:rPr>
        <w:t>1</w:t>
      </w:r>
      <w:r>
        <w:rPr>
          <w:rFonts w:hint="eastAsia" w:ascii="宋体" w:hAnsi="宋体" w:cs="宋体"/>
          <w:bCs/>
          <w:color w:val="auto"/>
          <w:sz w:val="21"/>
          <w:szCs w:val="21"/>
          <w:highlight w:val="none"/>
          <w:lang w:val="en-US" w:eastAsia="zh-CN"/>
        </w:rPr>
        <w:t>7</w:t>
      </w:r>
      <w:r>
        <w:rPr>
          <w:rFonts w:hint="eastAsia" w:ascii="宋体" w:hAnsi="宋体" w:cs="宋体"/>
          <w:bCs/>
          <w:color w:val="auto"/>
          <w:sz w:val="21"/>
          <w:szCs w:val="21"/>
          <w:highlight w:val="none"/>
          <w:lang w:val="zh-CN"/>
        </w:rPr>
        <w:t>个建制乡（镇）环境空气质量自动监测站</w:t>
      </w:r>
      <w:r>
        <w:rPr>
          <w:rFonts w:hint="eastAsia" w:ascii="宋体" w:hAnsi="宋体" w:cs="宋体"/>
          <w:bCs/>
          <w:color w:val="auto"/>
          <w:sz w:val="21"/>
          <w:szCs w:val="21"/>
          <w:highlight w:val="none"/>
          <w:lang w:val="en-US" w:eastAsia="zh-CN"/>
        </w:rPr>
        <w:t>运维服务，</w:t>
      </w:r>
      <w:r>
        <w:rPr>
          <w:rFonts w:hint="eastAsia" w:ascii="宋体" w:hAnsi="宋体" w:cs="宋体"/>
          <w:color w:val="auto"/>
          <w:sz w:val="21"/>
          <w:szCs w:val="21"/>
          <w:highlight w:val="none"/>
          <w:lang w:val="en-US" w:eastAsia="zh-CN"/>
        </w:rPr>
        <w:t>负责运维的设备主要包括监测仪器、辅助设备和监测站房，详细内容详见招标文件。</w:t>
      </w:r>
    </w:p>
    <w:p w14:paraId="68AE7A02">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5.2</w:t>
      </w:r>
      <w:r>
        <w:rPr>
          <w:rFonts w:hint="eastAsia" w:ascii="宋体" w:hAnsi="宋体" w:cs="宋体"/>
          <w:bCs/>
          <w:color w:val="auto"/>
          <w:sz w:val="21"/>
          <w:szCs w:val="21"/>
          <w:highlight w:val="none"/>
          <w:lang w:val="en-US" w:eastAsia="zh-CN"/>
        </w:rPr>
        <w:t>运维</w:t>
      </w:r>
      <w:r>
        <w:rPr>
          <w:rFonts w:hint="eastAsia" w:ascii="宋体" w:hAnsi="宋体" w:eastAsia="宋体" w:cs="宋体"/>
          <w:bCs/>
          <w:color w:val="auto"/>
          <w:sz w:val="21"/>
          <w:szCs w:val="21"/>
          <w:highlight w:val="none"/>
          <w:lang w:val="en-US" w:eastAsia="zh-CN"/>
        </w:rPr>
        <w:t>期限：</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年；</w:t>
      </w:r>
    </w:p>
    <w:p w14:paraId="281BB550">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服务质量：</w:t>
      </w:r>
      <w:r>
        <w:rPr>
          <w:rFonts w:hint="eastAsia" w:ascii="宋体" w:hAnsi="宋体" w:cs="宋体"/>
          <w:bCs/>
          <w:color w:val="auto"/>
          <w:sz w:val="21"/>
          <w:szCs w:val="21"/>
          <w:highlight w:val="none"/>
          <w:lang w:val="en-US" w:eastAsia="zh-CN"/>
        </w:rPr>
        <w:t>合格</w:t>
      </w:r>
      <w:r>
        <w:rPr>
          <w:rFonts w:hint="eastAsia" w:ascii="宋体" w:hAnsi="宋体" w:eastAsia="宋体" w:cs="宋体"/>
          <w:bCs/>
          <w:color w:val="auto"/>
          <w:sz w:val="21"/>
          <w:szCs w:val="21"/>
          <w:highlight w:val="none"/>
          <w:lang w:val="en-US" w:eastAsia="zh-CN"/>
        </w:rPr>
        <w:t>；</w:t>
      </w:r>
    </w:p>
    <w:p w14:paraId="55D70D8D">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6.合同履行期限：</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年；</w:t>
      </w:r>
    </w:p>
    <w:p w14:paraId="08E62F3B">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7.本项目是否接受联合体投标：否；</w:t>
      </w:r>
    </w:p>
    <w:p w14:paraId="317187B8">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8.是否接受进口产品：否。</w:t>
      </w:r>
    </w:p>
    <w:p w14:paraId="4AE8F8F7">
      <w:pPr>
        <w:keepLines w:val="0"/>
        <w:pageBreakBefore w:val="0"/>
        <w:kinsoku/>
        <w:wordWrap/>
        <w:overflowPunct/>
        <w:topLinePunct w:val="0"/>
        <w:bidi w:val="0"/>
        <w:adjustRightInd/>
        <w:snapToGrid/>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二、申请人的资格要求： </w:t>
      </w:r>
    </w:p>
    <w:p w14:paraId="3121F688">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1.满足《中华人民共和国政府采购法》第二十二条规定。</w:t>
      </w:r>
    </w:p>
    <w:p w14:paraId="5622123C">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2.落实政府采购政策满足的资格要求：本项目非专门面向中小企业采购【该项目符合《政府采购促进中小企业发展管理办法》（财库【2020】46号）第六条第</w:t>
      </w:r>
      <w:r>
        <w:rPr>
          <w:rFonts w:hint="eastAsia" w:ascii="宋体" w:hAnsi="宋体" w:cs="宋体"/>
          <w:bCs/>
          <w:color w:val="auto"/>
          <w:sz w:val="21"/>
          <w:szCs w:val="21"/>
          <w:highlight w:val="none"/>
          <w:lang w:val="en-US" w:eastAsia="zh-CN"/>
        </w:rPr>
        <w:t>三</w:t>
      </w:r>
      <w:r>
        <w:rPr>
          <w:rFonts w:hint="eastAsia" w:ascii="宋体" w:hAnsi="宋体" w:eastAsia="宋体" w:cs="宋体"/>
          <w:bCs/>
          <w:color w:val="auto"/>
          <w:sz w:val="21"/>
          <w:szCs w:val="21"/>
          <w:highlight w:val="none"/>
          <w:lang w:val="en-US" w:eastAsia="zh-CN"/>
        </w:rPr>
        <w:t>款之规定：按照本办法规定预留采购份额无法确保充分供应、充分竞争，或者存在可能影响政府采购目标实现的情形】。本项目落实节约能源、保护环境、扶持不发达地区和少数民族地区、促进中小微企业、监狱企业及残疾人福利性单位发展等政府采购政策。</w:t>
      </w:r>
    </w:p>
    <w:p w14:paraId="6F8D0014">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3.本项目的特定资格要求：</w:t>
      </w:r>
    </w:p>
    <w:p w14:paraId="639F6D92">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提供查询截图。【查询渠道：“信用中国”网站（www.creditchina.gov.cn）、中国政府采购网（www.ccgp.gov.cn）】；</w:t>
      </w:r>
    </w:p>
    <w:p w14:paraId="2AA6E9B0">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本项目不接受联合体投标。</w:t>
      </w:r>
    </w:p>
    <w:p w14:paraId="02E6D7D2">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4、其他说明：</w:t>
      </w:r>
    </w:p>
    <w:p w14:paraId="7D4B6946">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4.1单位负责人为同一人或者存在直接控股、管理关系的不同单位，不得同时参加同一合同项下的政府采购活动。</w:t>
      </w:r>
    </w:p>
    <w:p w14:paraId="5DBA9414">
      <w:pPr>
        <w:widowControl/>
        <w:adjustRightInd w:val="0"/>
        <w:snapToGrid w:val="0"/>
        <w:spacing w:line="360" w:lineRule="auto"/>
        <w:ind w:firstLine="422"/>
        <w:jc w:val="left"/>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4.2本项目</w:t>
      </w:r>
      <w:r>
        <w:rPr>
          <w:rFonts w:hint="eastAsia" w:ascii="宋体" w:hAnsi="宋体" w:eastAsia="宋体" w:cs="宋体"/>
          <w:b w:val="0"/>
          <w:bCs w:val="0"/>
          <w:szCs w:val="21"/>
          <w:highlight w:val="none"/>
          <w:u w:val="single"/>
        </w:rPr>
        <w:t xml:space="preserve"> </w:t>
      </w:r>
      <w:r>
        <w:rPr>
          <w:rFonts w:hint="eastAsia" w:ascii="宋体" w:hAnsi="宋体" w:eastAsia="宋体" w:cs="宋体"/>
          <w:b/>
          <w:bCs/>
          <w:szCs w:val="21"/>
          <w:highlight w:val="none"/>
          <w:u w:val="single"/>
        </w:rPr>
        <w:t>适用</w:t>
      </w:r>
      <w:r>
        <w:rPr>
          <w:rFonts w:hint="eastAsia" w:ascii="宋体" w:hAnsi="宋体" w:eastAsia="宋体" w:cs="宋体"/>
          <w:b w:val="0"/>
          <w:bCs w:val="0"/>
          <w:szCs w:val="21"/>
          <w:highlight w:val="none"/>
          <w:u w:val="single"/>
        </w:rPr>
        <w:t xml:space="preserve"> </w:t>
      </w:r>
      <w:r>
        <w:rPr>
          <w:rFonts w:hint="eastAsia" w:ascii="宋体" w:hAnsi="宋体" w:eastAsia="宋体" w:cs="宋体"/>
          <w:b w:val="0"/>
          <w:bCs w:val="0"/>
          <w:szCs w:val="21"/>
          <w:highlight w:val="none"/>
        </w:rPr>
        <w:t>信用承诺（详见下述要求）。</w:t>
      </w:r>
    </w:p>
    <w:p w14:paraId="590D37B6">
      <w:pPr>
        <w:widowControl/>
        <w:numPr>
          <w:ilvl w:val="0"/>
          <w:numId w:val="2"/>
        </w:numPr>
        <w:adjustRightInd w:val="0"/>
        <w:snapToGrid w:val="0"/>
        <w:spacing w:line="360" w:lineRule="auto"/>
        <w:ind w:firstLine="210" w:firstLineChars="100"/>
        <w:jc w:val="left"/>
        <w:rPr>
          <w:rFonts w:hint="eastAsia" w:ascii="宋体" w:hAnsi="宋体" w:eastAsia="宋体" w:cs="宋体"/>
          <w:b w:val="0"/>
          <w:bCs w:val="0"/>
          <w:szCs w:val="21"/>
          <w:highlight w:val="none"/>
        </w:rPr>
      </w:pPr>
      <w:r>
        <w:rPr>
          <w:rFonts w:hint="eastAsia" w:ascii="宋体" w:hAnsi="宋体" w:eastAsia="宋体" w:cs="宋体"/>
          <w:b w:val="0"/>
          <w:bCs w:val="0"/>
          <w:kern w:val="0"/>
          <w:szCs w:val="21"/>
          <w:highlight w:val="none"/>
        </w:rPr>
        <w:t>在本项目政府采购活动中，</w:t>
      </w:r>
      <w:r>
        <w:rPr>
          <w:rFonts w:hint="eastAsia" w:ascii="宋体" w:hAnsi="宋体" w:eastAsia="宋体" w:cs="宋体"/>
          <w:b w:val="0"/>
          <w:bCs w:val="0"/>
          <w:szCs w:val="21"/>
          <w:highlight w:val="none"/>
        </w:rPr>
        <w:t>供应商在投标（响应）时，可对照资格要求进行自主核对，确定符合资格要求的，可按照规定提供相关承诺函（详见投标文件“八、 资格审查资料”附件），</w:t>
      </w:r>
      <w:r>
        <w:rPr>
          <w:rFonts w:hint="eastAsia" w:ascii="宋体" w:hAnsi="宋体" w:eastAsia="宋体" w:cs="宋体"/>
          <w:b w:val="0"/>
          <w:bCs w:val="0"/>
          <w:kern w:val="0"/>
          <w:szCs w:val="21"/>
          <w:highlight w:val="none"/>
        </w:rPr>
        <w:t>供应商只需在资格审查环节提供满足相应条件的书面承诺书，不再需要提供以下证明材料：</w:t>
      </w:r>
    </w:p>
    <w:p w14:paraId="36EB8381">
      <w:pPr>
        <w:widowControl/>
        <w:adjustRightInd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①符合国家相关规定的财务状况报告（提供</w:t>
      </w:r>
      <w:r>
        <w:rPr>
          <w:rFonts w:hint="eastAsia" w:ascii="宋体" w:hAnsi="宋体" w:cs="宋体"/>
          <w:color w:val="auto"/>
          <w:szCs w:val="21"/>
          <w:highlight w:val="none"/>
          <w:lang w:eastAsia="zh-CN"/>
        </w:rPr>
        <w:t>2024年度财务审计报告</w:t>
      </w:r>
      <w:r>
        <w:rPr>
          <w:rFonts w:hint="eastAsia" w:ascii="宋体" w:hAnsi="宋体" w:eastAsia="宋体" w:cs="宋体"/>
          <w:color w:val="auto"/>
          <w:szCs w:val="21"/>
          <w:highlight w:val="none"/>
        </w:rPr>
        <w:t>或提供其基本开户银行出具的资信证明）；</w:t>
      </w:r>
    </w:p>
    <w:p w14:paraId="6B892DCD">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②依法缴纳税收的证明材料（提供</w:t>
      </w:r>
      <w:r>
        <w:rPr>
          <w:rFonts w:hint="eastAsia" w:ascii="宋体" w:hAnsi="宋体" w:cs="宋体"/>
          <w:color w:val="auto"/>
          <w:szCs w:val="21"/>
          <w:highlight w:val="none"/>
          <w:lang w:eastAsia="zh-CN"/>
        </w:rPr>
        <w:t>2025年1月1日以来任意6个月纳税证明</w:t>
      </w:r>
      <w:r>
        <w:rPr>
          <w:rFonts w:hint="eastAsia" w:ascii="宋体" w:hAnsi="宋体" w:eastAsia="宋体" w:cs="宋体"/>
          <w:color w:val="auto"/>
          <w:szCs w:val="21"/>
          <w:highlight w:val="none"/>
        </w:rPr>
        <w:t>,新成立公司以实际成立时间为准）；</w:t>
      </w:r>
    </w:p>
    <w:p w14:paraId="7B1E2F42">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③依法缴纳社会保障资金的证明材料（提供</w:t>
      </w:r>
      <w:r>
        <w:rPr>
          <w:rFonts w:hint="eastAsia" w:ascii="宋体" w:hAnsi="宋体" w:cs="宋体"/>
          <w:color w:val="auto"/>
          <w:szCs w:val="21"/>
          <w:highlight w:val="none"/>
          <w:lang w:eastAsia="zh-CN"/>
        </w:rPr>
        <w:t>2025年1月1日以来任意6个月</w:t>
      </w:r>
      <w:r>
        <w:rPr>
          <w:rFonts w:hint="eastAsia" w:ascii="宋体" w:hAnsi="宋体" w:eastAsia="宋体" w:cs="宋体"/>
          <w:color w:val="auto"/>
          <w:szCs w:val="21"/>
          <w:highlight w:val="none"/>
        </w:rPr>
        <w:t>缴纳社会保障证明,新成立公司以实际成立时间为准）；</w:t>
      </w:r>
    </w:p>
    <w:p w14:paraId="6D4604D4">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④具备履行政府采购合同所必需的设备和专业技术能力的证明材料（默认履行合同的法定营业执照）；</w:t>
      </w:r>
    </w:p>
    <w:p w14:paraId="47C2236F">
      <w:pPr>
        <w:adjustRightInd w:val="0"/>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⑤参加政府采购活动前三年内在经营活动中没有重大违法记录的证明材料；（供应商自行作出承诺）</w:t>
      </w:r>
    </w:p>
    <w:p w14:paraId="58A0AC51">
      <w:pPr>
        <w:adjustRightInd w:val="0"/>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⑥未被列入失信被执行人、重大税收违法失信主体、政府采购严重违法失信行为记录名单的证明材料。(通过“信用中国”网站（www.creditchina.gov.cn） 查询“失信被执行人”(跳转至中国执行信息公开网)、“重大税收违法失信主体”，中国政府采购网（www.ccgp.gov.cn）查询“政府采购严重违法失信行为记录名单”渠道查询自身信用记录)</w:t>
      </w:r>
      <w:r>
        <w:rPr>
          <w:rFonts w:hint="eastAsia" w:ascii="宋体" w:hAnsi="宋体" w:eastAsia="宋体" w:cs="宋体"/>
          <w:color w:val="auto"/>
          <w:szCs w:val="21"/>
          <w:highlight w:val="none"/>
          <w:lang w:eastAsia="zh-CN"/>
        </w:rPr>
        <w:t>。</w:t>
      </w:r>
    </w:p>
    <w:p w14:paraId="528C3348">
      <w:pPr>
        <w:keepLines w:val="0"/>
        <w:pageBreakBefore w:val="0"/>
        <w:widowControl/>
        <w:numPr>
          <w:ilvl w:val="0"/>
          <w:numId w:val="2"/>
        </w:numPr>
        <w:kinsoku/>
        <w:wordWrap/>
        <w:overflowPunct/>
        <w:topLinePunct w:val="0"/>
        <w:bidi w:val="0"/>
        <w:adjustRightInd/>
        <w:snapToGrid/>
        <w:spacing w:line="400" w:lineRule="exact"/>
        <w:ind w:left="0" w:leftChars="0" w:firstLine="210" w:firstLineChars="1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供应商在中标（成交）后，应将上述由信用承诺书替代的证明材料提交采购人（采购</w:t>
      </w:r>
      <w:r>
        <w:rPr>
          <w:rFonts w:hint="eastAsia" w:ascii="宋体" w:hAnsi="宋体" w:cs="宋体"/>
          <w:szCs w:val="21"/>
          <w:highlight w:val="none"/>
          <w:lang w:val="en-US" w:eastAsia="zh-CN"/>
        </w:rPr>
        <w:t>代理</w:t>
      </w:r>
      <w:r>
        <w:rPr>
          <w:rFonts w:hint="eastAsia" w:ascii="宋体" w:hAnsi="宋体" w:eastAsia="宋体" w:cs="宋体"/>
          <w:szCs w:val="21"/>
          <w:highlight w:val="none"/>
        </w:rPr>
        <w:t>机构）核验，经核验无误后，由采购人发出中标（成交）通知书。</w:t>
      </w:r>
    </w:p>
    <w:p w14:paraId="23AB994F">
      <w:pPr>
        <w:keepLines w:val="0"/>
        <w:pageBreakBefore w:val="0"/>
        <w:widowControl/>
        <w:numPr>
          <w:ilvl w:val="0"/>
          <w:numId w:val="0"/>
        </w:numPr>
        <w:kinsoku/>
        <w:wordWrap/>
        <w:overflowPunct/>
        <w:topLinePunct w:val="0"/>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三、获取招标文件</w:t>
      </w:r>
    </w:p>
    <w:p w14:paraId="0C41D711">
      <w:pPr>
        <w:pStyle w:val="20"/>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1.时间：202</w:t>
      </w:r>
      <w:r>
        <w:rPr>
          <w:rFonts w:hint="eastAsia"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default"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月</w:t>
      </w:r>
      <w:r>
        <w:rPr>
          <w:rFonts w:hint="default" w:cs="宋体"/>
          <w:color w:val="auto"/>
          <w:sz w:val="21"/>
          <w:szCs w:val="21"/>
          <w:highlight w:val="none"/>
          <w:shd w:val="clear" w:color="auto" w:fill="FFFFFF"/>
          <w:lang w:val="en-US" w:eastAsia="zh-CN"/>
        </w:rPr>
        <w:t>14</w:t>
      </w:r>
      <w:r>
        <w:rPr>
          <w:rFonts w:hint="eastAsia" w:ascii="宋体" w:hAnsi="宋体" w:eastAsia="宋体" w:cs="宋体"/>
          <w:color w:val="auto"/>
          <w:sz w:val="21"/>
          <w:szCs w:val="21"/>
          <w:highlight w:val="none"/>
          <w:shd w:val="clear" w:color="auto" w:fill="FFFFFF"/>
        </w:rPr>
        <w:t>日00时00分至202</w:t>
      </w:r>
      <w:r>
        <w:rPr>
          <w:rFonts w:hint="eastAsia"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年</w:t>
      </w:r>
      <w:r>
        <w:rPr>
          <w:rFonts w:hint="default" w:cs="宋体"/>
          <w:color w:val="auto"/>
          <w:sz w:val="21"/>
          <w:szCs w:val="21"/>
          <w:highlight w:val="none"/>
          <w:shd w:val="clear" w:color="auto" w:fill="FFFFFF"/>
          <w:lang w:val="en-US"/>
        </w:rPr>
        <w:t>2</w:t>
      </w:r>
      <w:r>
        <w:rPr>
          <w:rFonts w:hint="eastAsia" w:ascii="宋体" w:hAnsi="宋体" w:eastAsia="宋体" w:cs="宋体"/>
          <w:color w:val="auto"/>
          <w:sz w:val="21"/>
          <w:szCs w:val="21"/>
          <w:highlight w:val="none"/>
          <w:shd w:val="clear" w:color="auto" w:fill="FFFFFF"/>
        </w:rPr>
        <w:t>月</w:t>
      </w:r>
      <w:r>
        <w:rPr>
          <w:rFonts w:hint="default" w:cs="宋体"/>
          <w:color w:val="auto"/>
          <w:sz w:val="21"/>
          <w:szCs w:val="21"/>
          <w:highlight w:val="none"/>
          <w:shd w:val="clear" w:color="auto" w:fill="FFFFFF"/>
          <w:lang w:val="en-US" w:eastAsia="zh-CN"/>
        </w:rPr>
        <w:t>27</w:t>
      </w:r>
      <w:r>
        <w:rPr>
          <w:rFonts w:hint="eastAsia" w:ascii="宋体" w:hAnsi="宋体" w:eastAsia="宋体" w:cs="宋体"/>
          <w:color w:val="auto"/>
          <w:sz w:val="21"/>
          <w:szCs w:val="21"/>
          <w:highlight w:val="none"/>
          <w:shd w:val="clear" w:color="auto" w:fill="FFFFFF"/>
        </w:rPr>
        <w:t>日23时59分（北京时间）；</w:t>
      </w:r>
    </w:p>
    <w:p w14:paraId="102E6FAB">
      <w:pPr>
        <w:pStyle w:val="20"/>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2.地点：</w:t>
      </w:r>
      <w:r>
        <w:rPr>
          <w:rFonts w:hint="eastAsia" w:ascii="宋体" w:hAnsi="宋体" w:eastAsia="宋体" w:cs="宋体"/>
          <w:color w:val="auto"/>
          <w:sz w:val="21"/>
          <w:szCs w:val="21"/>
          <w:highlight w:val="none"/>
          <w:shd w:val="clear" w:color="auto" w:fill="FFFFFF"/>
          <w:lang w:val="zh-CN"/>
        </w:rPr>
        <w:t>《全国公共资源交易平台（河南省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lang w:val="en-US" w:eastAsia="zh-CN"/>
        </w:rPr>
        <w:t>信阳市</w:t>
      </w:r>
      <w:r>
        <w:rPr>
          <w:rFonts w:hint="eastAsia" w:ascii="宋体" w:hAnsi="宋体" w:eastAsia="宋体" w:cs="宋体"/>
          <w:color w:val="auto"/>
          <w:sz w:val="21"/>
          <w:szCs w:val="21"/>
          <w:highlight w:val="none"/>
          <w:shd w:val="clear" w:color="auto" w:fill="FFFFFF"/>
          <w:lang w:val="zh-CN"/>
        </w:rPr>
        <w:t>）》</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eastAsia="zh-CN"/>
        </w:rPr>
        <w:t>https://ggzyjy.xinyang.gov.cn/</w:t>
      </w:r>
      <w:r>
        <w:rPr>
          <w:rFonts w:hint="eastAsia" w:ascii="宋体" w:hAnsi="宋体" w:eastAsia="宋体" w:cs="宋体"/>
          <w:color w:val="auto"/>
          <w:sz w:val="21"/>
          <w:szCs w:val="21"/>
          <w:highlight w:val="none"/>
          <w:shd w:val="clear" w:color="auto" w:fill="FFFFFF"/>
        </w:rPr>
        <w:t>），凭办理的企业身份认证锁（CA数字证书）登</w:t>
      </w:r>
      <w:r>
        <w:rPr>
          <w:rFonts w:hint="eastAsia" w:cs="宋体"/>
          <w:color w:val="auto"/>
          <w:sz w:val="21"/>
          <w:szCs w:val="21"/>
          <w:highlight w:val="none"/>
          <w:shd w:val="clear" w:color="auto" w:fill="FFFFFF"/>
          <w:lang w:val="en-US" w:eastAsia="zh-CN"/>
        </w:rPr>
        <w:t>录</w:t>
      </w:r>
      <w:r>
        <w:rPr>
          <w:rFonts w:hint="eastAsia" w:ascii="宋体" w:hAnsi="宋体" w:eastAsia="宋体" w:cs="宋体"/>
          <w:color w:val="auto"/>
          <w:sz w:val="21"/>
          <w:szCs w:val="21"/>
          <w:highlight w:val="none"/>
          <w:shd w:val="clear" w:color="auto" w:fill="FFFFFF"/>
        </w:rPr>
        <w:t>会员系统；</w:t>
      </w:r>
    </w:p>
    <w:p w14:paraId="5F8C19F0">
      <w:pPr>
        <w:pStyle w:val="20"/>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3.方式：</w:t>
      </w:r>
    </w:p>
    <w:p w14:paraId="4E3E39DE">
      <w:pPr>
        <w:pStyle w:val="20"/>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3.1投标人注册：投标企业首先登</w:t>
      </w:r>
      <w:r>
        <w:rPr>
          <w:rFonts w:hint="eastAsia" w:cs="宋体"/>
          <w:color w:val="auto"/>
          <w:sz w:val="21"/>
          <w:szCs w:val="21"/>
          <w:highlight w:val="none"/>
          <w:shd w:val="clear" w:color="auto" w:fill="FFFFFF"/>
          <w:lang w:val="en-US" w:eastAsia="zh-CN"/>
        </w:rPr>
        <w:t>录</w:t>
      </w:r>
      <w:r>
        <w:rPr>
          <w:rFonts w:hint="eastAsia" w:ascii="宋体" w:hAnsi="宋体" w:eastAsia="宋体" w:cs="宋体"/>
          <w:color w:val="auto"/>
          <w:sz w:val="21"/>
          <w:szCs w:val="21"/>
          <w:highlight w:val="none"/>
          <w:shd w:val="clear" w:color="auto" w:fill="FFFFFF"/>
        </w:rPr>
        <w:t>“全国公共资源交易平台（河南省·信阳市）（</w:t>
      </w:r>
      <w:r>
        <w:rPr>
          <w:rFonts w:hint="eastAsia" w:ascii="宋体" w:hAnsi="宋体" w:eastAsia="宋体" w:cs="宋体"/>
          <w:color w:val="auto"/>
          <w:sz w:val="21"/>
          <w:szCs w:val="21"/>
          <w:highlight w:val="none"/>
          <w:shd w:val="clear" w:color="auto" w:fill="FFFFFF"/>
          <w:lang w:eastAsia="zh-CN"/>
        </w:rPr>
        <w:t>https://ggzyjy.xinyang.gov.cn/</w:t>
      </w:r>
      <w:r>
        <w:rPr>
          <w:rFonts w:hint="eastAsia" w:ascii="宋体" w:hAnsi="宋体" w:eastAsia="宋体" w:cs="宋体"/>
          <w:color w:val="auto"/>
          <w:sz w:val="21"/>
          <w:szCs w:val="21"/>
          <w:highlight w:val="none"/>
          <w:shd w:val="clear" w:color="auto" w:fill="FFFFFF"/>
        </w:rPr>
        <w:t>）”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14:paraId="7B67EE36">
      <w:pPr>
        <w:pStyle w:val="20"/>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3.2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5EFE9834">
      <w:pPr>
        <w:pStyle w:val="20"/>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3.3招标文件获取方式：投标人凭CA数字证书登</w:t>
      </w:r>
      <w:r>
        <w:rPr>
          <w:rFonts w:hint="eastAsia" w:cs="宋体"/>
          <w:color w:val="auto"/>
          <w:sz w:val="21"/>
          <w:szCs w:val="21"/>
          <w:highlight w:val="none"/>
          <w:shd w:val="clear" w:color="auto" w:fill="FFFFFF"/>
          <w:lang w:val="en-US" w:eastAsia="zh-CN"/>
        </w:rPr>
        <w:t>录</w:t>
      </w:r>
      <w:r>
        <w:rPr>
          <w:rFonts w:hint="eastAsia" w:ascii="宋体" w:hAnsi="宋体" w:eastAsia="宋体" w:cs="宋体"/>
          <w:color w:val="auto"/>
          <w:sz w:val="21"/>
          <w:szCs w:val="21"/>
          <w:highlight w:val="none"/>
          <w:shd w:val="clear" w:color="auto" w:fill="FFFFFF"/>
        </w:rPr>
        <w:t>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w:t>
      </w:r>
      <w:r>
        <w:rPr>
          <w:rFonts w:hint="eastAsia" w:ascii="宋体" w:hAnsi="宋体" w:eastAsia="宋体" w:cs="宋体"/>
          <w:color w:val="auto"/>
          <w:sz w:val="21"/>
          <w:szCs w:val="21"/>
          <w:highlight w:val="none"/>
          <w:shd w:val="clear" w:color="auto" w:fill="FFFFFF"/>
          <w:lang w:eastAsia="zh-CN"/>
        </w:rPr>
        <w:t>https://ggzyjy.xinyang.gov.cn/</w:t>
      </w:r>
      <w:r>
        <w:rPr>
          <w:rFonts w:hint="eastAsia" w:ascii="宋体" w:hAnsi="宋体" w:eastAsia="宋体" w:cs="宋体"/>
          <w:color w:val="auto"/>
          <w:sz w:val="21"/>
          <w:szCs w:val="21"/>
          <w:highlight w:val="none"/>
          <w:shd w:val="clear" w:color="auto" w:fill="FFFFFF"/>
        </w:rPr>
        <w:t>）”网站下载中心栏目内下载或在招标文件文件领取页面下载）。</w:t>
      </w:r>
    </w:p>
    <w:p w14:paraId="3754F993">
      <w:pPr>
        <w:pStyle w:val="20"/>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3.4招标文件售价0元，请投标人下载招标文件后及时关注系统业务菜单（“答疑澄清文件领取”，“控制价文件领取”）内该项目是否有新的答疑澄清文件或控制价文件。如有请直接下载，不再另行通知。</w:t>
      </w:r>
    </w:p>
    <w:p w14:paraId="0D29A9D1">
      <w:pPr>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四、投标文件截止时间及地点 </w:t>
      </w:r>
    </w:p>
    <w:p w14:paraId="6E3FBC70">
      <w:pPr>
        <w:pStyle w:val="9"/>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1.时间：20</w:t>
      </w:r>
      <w:r>
        <w:rPr>
          <w:rFonts w:hint="eastAsia" w:ascii="宋体" w:hAnsi="宋体" w:eastAsia="宋体" w:cs="宋体"/>
          <w:bCs/>
          <w:color w:val="auto"/>
          <w:kern w:val="2"/>
          <w:sz w:val="21"/>
          <w:szCs w:val="21"/>
          <w:highlight w:val="none"/>
          <w:lang w:val="en-US" w:eastAsia="zh-CN"/>
        </w:rPr>
        <w:t>2</w:t>
      </w:r>
      <w:r>
        <w:rPr>
          <w:rFonts w:hint="eastAsia" w:hAnsi="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rPr>
        <w:t>年</w:t>
      </w:r>
      <w:r>
        <w:rPr>
          <w:rFonts w:hint="default" w:hAnsi="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月</w:t>
      </w:r>
      <w:r>
        <w:rPr>
          <w:rFonts w:hint="default" w:hAnsi="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rPr>
        <w:t>日9 时</w:t>
      </w:r>
      <w:r>
        <w:rPr>
          <w:rFonts w:hint="eastAsia" w:hAnsi="宋体" w:cs="宋体"/>
          <w:bCs/>
          <w:color w:val="auto"/>
          <w:kern w:val="2"/>
          <w:sz w:val="21"/>
          <w:szCs w:val="21"/>
          <w:highlight w:val="none"/>
          <w:lang w:val="en-US" w:eastAsia="zh-CN"/>
        </w:rPr>
        <w:t>0</w:t>
      </w:r>
      <w:r>
        <w:rPr>
          <w:rFonts w:hint="eastAsia" w:ascii="宋体" w:hAnsi="宋体" w:eastAsia="宋体" w:cs="宋体"/>
          <w:bCs/>
          <w:color w:val="auto"/>
          <w:kern w:val="2"/>
          <w:sz w:val="21"/>
          <w:szCs w:val="21"/>
          <w:highlight w:val="none"/>
        </w:rPr>
        <w:t>0分（北京时间）。</w:t>
      </w:r>
    </w:p>
    <w:p w14:paraId="135552A5">
      <w:pPr>
        <w:pStyle w:val="9"/>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2.地点：本项目为不见面开标项目，</w:t>
      </w:r>
      <w:r>
        <w:rPr>
          <w:rFonts w:hint="eastAsia" w:ascii="宋体" w:hAnsi="宋体" w:eastAsia="宋体" w:cs="宋体"/>
          <w:bCs/>
          <w:color w:val="auto"/>
          <w:kern w:val="2"/>
          <w:sz w:val="21"/>
          <w:szCs w:val="21"/>
          <w:highlight w:val="none"/>
          <w:lang w:val="en-US" w:eastAsia="zh-CN"/>
        </w:rPr>
        <w:t>投标</w:t>
      </w:r>
      <w:r>
        <w:rPr>
          <w:rFonts w:hint="eastAsia" w:ascii="宋体" w:hAnsi="宋体" w:eastAsia="宋体" w:cs="宋体"/>
          <w:bCs/>
          <w:color w:val="auto"/>
          <w:kern w:val="2"/>
          <w:sz w:val="21"/>
          <w:szCs w:val="21"/>
          <w:highlight w:val="none"/>
        </w:rPr>
        <w:t>文件递交地点为</w:t>
      </w:r>
      <w:r>
        <w:rPr>
          <w:rFonts w:hint="eastAsia" w:ascii="宋体" w:hAnsi="宋体" w:eastAsia="宋体" w:cs="宋体"/>
          <w:bCs/>
          <w:color w:val="auto"/>
          <w:kern w:val="2"/>
          <w:sz w:val="21"/>
          <w:szCs w:val="21"/>
          <w:highlight w:val="none"/>
          <w:lang w:val="zh-CN"/>
        </w:rPr>
        <w:t>《全国公共资源交易平台（河南省</w:t>
      </w:r>
      <w:r>
        <w:rPr>
          <w:rFonts w:hint="eastAsia" w:ascii="宋体" w:hAnsi="宋体" w:eastAsia="宋体" w:cs="宋体"/>
          <w:color w:val="auto"/>
          <w:sz w:val="21"/>
          <w:szCs w:val="21"/>
          <w:highlight w:val="none"/>
        </w:rPr>
        <w:t>·</w:t>
      </w:r>
      <w:r>
        <w:rPr>
          <w:rFonts w:hint="eastAsia" w:ascii="宋体" w:hAnsi="宋体" w:eastAsia="宋体" w:cs="宋体"/>
          <w:bCs/>
          <w:color w:val="auto"/>
          <w:kern w:val="2"/>
          <w:sz w:val="21"/>
          <w:szCs w:val="21"/>
          <w:highlight w:val="none"/>
          <w:lang w:val="en-US" w:eastAsia="zh-CN"/>
        </w:rPr>
        <w:t>信阳市</w:t>
      </w:r>
      <w:r>
        <w:rPr>
          <w:rFonts w:hint="eastAsia" w:ascii="宋体" w:hAnsi="宋体" w:eastAsia="宋体" w:cs="宋体"/>
          <w:bCs/>
          <w:color w:val="auto"/>
          <w:kern w:val="2"/>
          <w:sz w:val="21"/>
          <w:szCs w:val="21"/>
          <w:highlight w:val="none"/>
          <w:lang w:val="zh-CN"/>
        </w:rPr>
        <w:t>）》</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eastAsia="zh-CN"/>
        </w:rPr>
        <w:t>https://ggzyjy.xinyang.gov.cn/</w:t>
      </w:r>
      <w:r>
        <w:rPr>
          <w:rFonts w:hint="eastAsia" w:ascii="宋体" w:hAnsi="宋体" w:eastAsia="宋体" w:cs="宋体"/>
          <w:bCs/>
          <w:color w:val="auto"/>
          <w:kern w:val="2"/>
          <w:sz w:val="21"/>
          <w:szCs w:val="21"/>
          <w:highlight w:val="none"/>
        </w:rPr>
        <w:t>）电子招投标平台会员系统指定位置。</w:t>
      </w:r>
    </w:p>
    <w:p w14:paraId="56A333F2">
      <w:pPr>
        <w:pStyle w:val="9"/>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3.电子</w:t>
      </w:r>
      <w:r>
        <w:rPr>
          <w:rFonts w:hint="eastAsia" w:ascii="宋体" w:hAnsi="宋体" w:eastAsia="宋体" w:cs="宋体"/>
          <w:bCs/>
          <w:color w:val="auto"/>
          <w:kern w:val="2"/>
          <w:sz w:val="21"/>
          <w:szCs w:val="21"/>
          <w:highlight w:val="none"/>
          <w:lang w:eastAsia="zh-CN"/>
        </w:rPr>
        <w:t>投标文件</w:t>
      </w:r>
      <w:r>
        <w:rPr>
          <w:rFonts w:hint="eastAsia" w:ascii="宋体" w:hAnsi="宋体" w:eastAsia="宋体" w:cs="宋体"/>
          <w:bCs/>
          <w:color w:val="auto"/>
          <w:kern w:val="2"/>
          <w:sz w:val="21"/>
          <w:szCs w:val="21"/>
          <w:highlight w:val="none"/>
        </w:rPr>
        <w:t>的递交</w:t>
      </w:r>
    </w:p>
    <w:p w14:paraId="669B155F">
      <w:pPr>
        <w:pStyle w:val="9"/>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各投标人应在投标文件递交截止时间前上传加密的电子投标文件（*.XYTF）到会员系统的指定位置。上传的电子投标文件应使用投标人CA数字证书认证并加密。上传时必须得到交易系统“上传成功”的确认回复后方为上传成功。请投标人在上传前务必认真检查上传投标文件是否完整、正确。</w:t>
      </w:r>
    </w:p>
    <w:p w14:paraId="4BC00ADC">
      <w:pPr>
        <w:pStyle w:val="9"/>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4.除电子投标文件外，不再接受任何纸质文件、资料原件等。</w:t>
      </w:r>
    </w:p>
    <w:p w14:paraId="4ECC594E">
      <w:pPr>
        <w:pStyle w:val="9"/>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5.本项目评标以电子投标文件为依据。加密电子投标文件逾期上传，采购人不予受理。</w:t>
      </w:r>
    </w:p>
    <w:p w14:paraId="4213E8A4">
      <w:pPr>
        <w:pStyle w:val="9"/>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五、开标时间及地点</w:t>
      </w:r>
    </w:p>
    <w:p w14:paraId="374BCC71">
      <w:pPr>
        <w:pStyle w:val="9"/>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1.时间：202</w:t>
      </w:r>
      <w:r>
        <w:rPr>
          <w:rFonts w:hint="eastAsia" w:hAnsi="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rPr>
        <w:t>年</w:t>
      </w:r>
      <w:r>
        <w:rPr>
          <w:rFonts w:hint="default" w:hAnsi="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月</w:t>
      </w:r>
      <w:r>
        <w:rPr>
          <w:rFonts w:hint="default" w:hAnsi="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rPr>
        <w:t>日9时30分（北京时间）。</w:t>
      </w:r>
    </w:p>
    <w:p w14:paraId="34753358">
      <w:pPr>
        <w:pStyle w:val="9"/>
        <w:keepLines w:val="0"/>
        <w:pageBreakBefore w:val="0"/>
        <w:kinsoku/>
        <w:wordWrap/>
        <w:overflowPunct/>
        <w:topLinePunct w:val="0"/>
        <w:bidi w:val="0"/>
        <w:adjustRightInd/>
        <w:snapToGrid/>
        <w:spacing w:line="400" w:lineRule="exact"/>
        <w:ind w:firstLine="42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2.地点：信阳市公共资源交易中心AI机器人开标虚拟</w:t>
      </w:r>
      <w:r>
        <w:rPr>
          <w:rFonts w:hint="eastAsia" w:hAnsi="宋体" w:cs="宋体"/>
          <w:bCs/>
          <w:color w:val="auto"/>
          <w:kern w:val="2"/>
          <w:sz w:val="21"/>
          <w:szCs w:val="21"/>
          <w:highlight w:val="none"/>
          <w:u w:val="single"/>
          <w:lang w:val="en-US" w:eastAsia="zh-CN"/>
        </w:rPr>
        <w:t xml:space="preserve"> 五 </w:t>
      </w:r>
      <w:r>
        <w:rPr>
          <w:rFonts w:hint="eastAsia" w:ascii="宋体" w:hAnsi="宋体" w:eastAsia="宋体" w:cs="宋体"/>
          <w:bCs/>
          <w:color w:val="auto"/>
          <w:kern w:val="2"/>
          <w:sz w:val="21"/>
          <w:szCs w:val="21"/>
          <w:highlight w:val="none"/>
        </w:rPr>
        <w:t>厅</w:t>
      </w:r>
      <w:r>
        <w:rPr>
          <w:rFonts w:hint="eastAsia" w:ascii="宋体" w:hAnsi="宋体" w:eastAsia="宋体" w:cs="宋体"/>
          <w:bCs/>
          <w:color w:val="auto"/>
          <w:kern w:val="2"/>
          <w:sz w:val="21"/>
          <w:szCs w:val="21"/>
          <w:highlight w:val="none"/>
          <w:lang w:val="zh-CN" w:eastAsia="zh-CN"/>
        </w:rPr>
        <w:t>（</w:t>
      </w:r>
      <w:r>
        <w:rPr>
          <w:rFonts w:hint="eastAsia" w:ascii="宋体" w:hAnsi="宋体" w:eastAsia="宋体" w:cs="宋体"/>
          <w:bCs/>
          <w:color w:val="auto"/>
          <w:kern w:val="2"/>
          <w:sz w:val="21"/>
          <w:szCs w:val="21"/>
          <w:highlight w:val="none"/>
          <w:lang w:val="en-US" w:eastAsia="zh-CN"/>
        </w:rPr>
        <w:t>市博物馆对面</w:t>
      </w:r>
      <w:r>
        <w:rPr>
          <w:rFonts w:hint="eastAsia" w:ascii="宋体" w:hAnsi="宋体" w:eastAsia="宋体" w:cs="宋体"/>
          <w:bCs/>
          <w:color w:val="auto"/>
          <w:kern w:val="2"/>
          <w:sz w:val="21"/>
          <w:szCs w:val="21"/>
          <w:highlight w:val="none"/>
          <w:lang w:val="zh-CN" w:eastAsia="zh-CN"/>
        </w:rPr>
        <w:t>）</w:t>
      </w:r>
      <w:r>
        <w:rPr>
          <w:rFonts w:hint="eastAsia" w:ascii="宋体" w:hAnsi="宋体" w:eastAsia="宋体" w:cs="宋体"/>
          <w:bCs/>
          <w:color w:val="auto"/>
          <w:kern w:val="2"/>
          <w:sz w:val="21"/>
          <w:szCs w:val="21"/>
          <w:highlight w:val="none"/>
        </w:rPr>
        <w:t>。</w:t>
      </w:r>
    </w:p>
    <w:p w14:paraId="5D044549">
      <w:pPr>
        <w:pStyle w:val="9"/>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kern w:val="2"/>
          <w:sz w:val="21"/>
          <w:szCs w:val="21"/>
          <w:highlight w:val="none"/>
        </w:rPr>
      </w:pPr>
      <w:r>
        <w:rPr>
          <w:rFonts w:hint="eastAsia" w:ascii="宋体" w:hAnsi="宋体" w:eastAsia="宋体" w:cs="宋体"/>
          <w:b/>
          <w:bCs/>
          <w:color w:val="auto"/>
          <w:kern w:val="2"/>
          <w:sz w:val="21"/>
          <w:szCs w:val="21"/>
          <w:highlight w:val="none"/>
        </w:rPr>
        <w:t>六</w:t>
      </w:r>
      <w:r>
        <w:rPr>
          <w:rFonts w:hint="eastAsia" w:ascii="宋体" w:hAnsi="宋体" w:eastAsia="宋体" w:cs="宋体"/>
          <w:b/>
          <w:color w:val="auto"/>
          <w:kern w:val="2"/>
          <w:sz w:val="21"/>
          <w:szCs w:val="21"/>
          <w:highlight w:val="none"/>
        </w:rPr>
        <w:t>、公告发布媒介及招标公告期限</w:t>
      </w:r>
    </w:p>
    <w:p w14:paraId="755AF60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本次招标公告在《河南省政府采购网》、《全国公共资源交易平台（河南省·信阳市）》上发布。 公告期限为五个工作日。</w:t>
      </w:r>
    </w:p>
    <w:p w14:paraId="1262CCC9">
      <w:pPr>
        <w:pStyle w:val="21"/>
        <w:keepNext w:val="0"/>
        <w:keepLines w:val="0"/>
        <w:pageBreakBefore w:val="0"/>
        <w:kinsoku/>
        <w:wordWrap/>
        <w:overflowPunct/>
        <w:topLinePunct w:val="0"/>
        <w:autoSpaceDE/>
        <w:autoSpaceDN/>
        <w:bidi w:val="0"/>
        <w:adjustRightInd/>
        <w:snapToGrid/>
        <w:spacing w:after="0" w:afterLines="0" w:line="400" w:lineRule="exact"/>
        <w:ind w:firstLine="0" w:firstLineChars="0"/>
        <w:textAlignment w:val="auto"/>
        <w:rPr>
          <w:rFonts w:hint="eastAsia" w:ascii="宋体" w:hAnsi="宋体" w:eastAsia="宋体" w:cs="宋体"/>
          <w:b/>
          <w:color w:val="auto"/>
          <w:szCs w:val="21"/>
          <w:highlight w:val="none"/>
          <w:shd w:val="clear" w:color="auto" w:fill="FFFFFF"/>
        </w:rPr>
      </w:pPr>
      <w:r>
        <w:rPr>
          <w:rFonts w:hint="eastAsia" w:ascii="宋体" w:hAnsi="宋体" w:eastAsia="宋体" w:cs="宋体"/>
          <w:b/>
          <w:color w:val="auto"/>
          <w:szCs w:val="21"/>
          <w:highlight w:val="none"/>
          <w:shd w:val="clear" w:color="auto" w:fill="FFFFFF"/>
        </w:rPr>
        <w:t>七、其他补充事宜</w:t>
      </w:r>
    </w:p>
    <w:p w14:paraId="115E62D5">
      <w:pPr>
        <w:pStyle w:val="20"/>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1.本项目采用“不见面开标”交易方式，不见面开标大厅网址为</w:t>
      </w:r>
      <w:r>
        <w:rPr>
          <w:rFonts w:hint="eastAsia" w:ascii="宋体" w:hAnsi="宋体" w:eastAsia="宋体" w:cs="宋体"/>
          <w:color w:val="auto"/>
          <w:sz w:val="21"/>
          <w:szCs w:val="21"/>
          <w:highlight w:val="none"/>
          <w:shd w:val="clear" w:color="auto" w:fill="FFFFFF"/>
          <w:lang w:eastAsia="zh-CN"/>
        </w:rPr>
        <w:t>https://ggzyjy.xinyang.gov.cn/BidOpening</w:t>
      </w:r>
      <w:r>
        <w:rPr>
          <w:rFonts w:hint="eastAsia" w:ascii="宋体" w:hAnsi="宋体" w:eastAsia="宋体" w:cs="宋体"/>
          <w:color w:val="auto"/>
          <w:sz w:val="21"/>
          <w:szCs w:val="21"/>
          <w:highlight w:val="none"/>
          <w:shd w:val="clear" w:color="auto" w:fill="FFFFFF"/>
        </w:rPr>
        <w:t>，投标人无需寄送和递交非加密的电子投标文件，无需到现场参加开标会议，无需到达现场提交原件资料。</w:t>
      </w:r>
    </w:p>
    <w:p w14:paraId="59F24A22">
      <w:pPr>
        <w:pStyle w:val="20"/>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2.投标人应当在投标截止时间前，使用投标人CA数字证书登录不见面开标大厅，在线签到并准时参加开标活动，并在规定时间内完成投标文件解密、答疑澄清等。</w:t>
      </w:r>
    </w:p>
    <w:p w14:paraId="231155B0">
      <w:pPr>
        <w:pStyle w:val="20"/>
        <w:keepLines w:val="0"/>
        <w:pageBreakBefore w:val="0"/>
        <w:kinsoku/>
        <w:wordWrap/>
        <w:overflowPunct/>
        <w:topLinePunct w:val="0"/>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3.逾期解密或者没有准时在线参加开标活动导致的一切后果投标人自行承担。</w:t>
      </w:r>
    </w:p>
    <w:p w14:paraId="03C25E9E">
      <w:pPr>
        <w:pStyle w:val="20"/>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4.不见面开标服务的具体事宜，请查阅信阳市公共资源交易中心网站首页—下载中心—信阳市不见面开标大厅系统操作手册。</w:t>
      </w:r>
    </w:p>
    <w:p w14:paraId="1B709AD5">
      <w:pPr>
        <w:pStyle w:val="20"/>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firstLine="420" w:firstLineChars="20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5.特别提示：投标人在线签到时，应如实准确的填写授权委托人的联系电话，开标当天请务必保证电话保持畅通。</w:t>
      </w:r>
    </w:p>
    <w:p w14:paraId="1B23F8A2">
      <w:pPr>
        <w:pStyle w:val="20"/>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420" w:leftChars="200" w:firstLine="0" w:firstLineChars="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监督部门信息</w:t>
      </w:r>
      <w:r>
        <w:rPr>
          <w:rFonts w:hint="default" w:ascii="宋体" w:hAnsi="宋体" w:eastAsia="宋体" w:cs="宋体"/>
          <w:color w:val="auto"/>
          <w:sz w:val="21"/>
          <w:szCs w:val="21"/>
          <w:highlight w:val="none"/>
          <w:shd w:val="clear" w:color="auto" w:fill="FFFFFF"/>
        </w:rPr>
        <w:br w:type="textWrapping"/>
      </w:r>
      <w:r>
        <w:rPr>
          <w:rFonts w:hint="default" w:ascii="宋体" w:hAnsi="宋体" w:eastAsia="宋体" w:cs="宋体"/>
          <w:color w:val="auto"/>
          <w:sz w:val="21"/>
          <w:szCs w:val="21"/>
          <w:highlight w:val="none"/>
          <w:shd w:val="clear" w:color="auto" w:fill="FFFFFF"/>
        </w:rPr>
        <w:t>监督单位：信阳市财政局政府采购科</w:t>
      </w:r>
      <w:r>
        <w:rPr>
          <w:rFonts w:hint="default" w:ascii="宋体" w:hAnsi="宋体" w:eastAsia="宋体" w:cs="宋体"/>
          <w:color w:val="auto"/>
          <w:sz w:val="21"/>
          <w:szCs w:val="21"/>
          <w:highlight w:val="none"/>
          <w:shd w:val="clear" w:color="auto" w:fill="FFFFFF"/>
        </w:rPr>
        <w:br w:type="textWrapping"/>
      </w:r>
      <w:r>
        <w:rPr>
          <w:rFonts w:hint="default" w:ascii="宋体" w:hAnsi="宋体" w:eastAsia="宋体" w:cs="宋体"/>
          <w:color w:val="auto"/>
          <w:sz w:val="21"/>
          <w:szCs w:val="21"/>
          <w:highlight w:val="none"/>
          <w:shd w:val="clear" w:color="auto" w:fill="FFFFFF"/>
        </w:rPr>
        <w:t>联系人：张先生</w:t>
      </w:r>
      <w:r>
        <w:rPr>
          <w:rFonts w:hint="default" w:ascii="宋体" w:hAnsi="宋体" w:eastAsia="宋体" w:cs="宋体"/>
          <w:color w:val="auto"/>
          <w:sz w:val="21"/>
          <w:szCs w:val="21"/>
          <w:highlight w:val="none"/>
          <w:shd w:val="clear" w:color="auto" w:fill="FFFFFF"/>
        </w:rPr>
        <w:br w:type="textWrapping"/>
      </w:r>
      <w:r>
        <w:rPr>
          <w:rFonts w:hint="default" w:ascii="宋体" w:hAnsi="宋体" w:eastAsia="宋体" w:cs="宋体"/>
          <w:color w:val="auto"/>
          <w:sz w:val="21"/>
          <w:szCs w:val="21"/>
          <w:highlight w:val="none"/>
          <w:shd w:val="clear" w:color="auto" w:fill="FFFFFF"/>
        </w:rPr>
        <w:t>监督电话：0376-6699188</w:t>
      </w:r>
    </w:p>
    <w:p w14:paraId="5AD96DDB">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、本项目采购代理服务费金额参照《河南省招标代理服务收费指导意见》豫招协【2023】002号文件的规定收取</w:t>
      </w:r>
      <w:r>
        <w:rPr>
          <w:rFonts w:hint="eastAsia" w:ascii="宋体" w:hAnsi="宋体" w:cs="宋体"/>
          <w:b w:val="0"/>
          <w:bCs/>
          <w:color w:val="auto"/>
          <w:sz w:val="21"/>
          <w:szCs w:val="21"/>
          <w:highlight w:val="none"/>
          <w:lang w:eastAsia="zh-CN"/>
        </w:rPr>
        <w:t>一包：</w:t>
      </w:r>
      <w:r>
        <w:rPr>
          <w:rFonts w:hint="eastAsia" w:ascii="宋体" w:hAnsi="宋体" w:cs="宋体"/>
          <w:b w:val="0"/>
          <w:bCs/>
          <w:color w:val="auto"/>
          <w:sz w:val="21"/>
          <w:szCs w:val="21"/>
          <w:highlight w:val="none"/>
          <w:lang w:val="en-US" w:eastAsia="zh-CN"/>
        </w:rPr>
        <w:t>44120</w:t>
      </w:r>
      <w:r>
        <w:rPr>
          <w:rFonts w:hint="eastAsia" w:ascii="宋体" w:hAnsi="宋体" w:eastAsia="宋体" w:cs="宋体"/>
          <w:b w:val="0"/>
          <w:bCs/>
          <w:color w:val="auto"/>
          <w:sz w:val="21"/>
          <w:szCs w:val="21"/>
          <w:highlight w:val="none"/>
        </w:rPr>
        <w:t>元</w:t>
      </w:r>
      <w:r>
        <w:rPr>
          <w:rFonts w:hint="eastAsia" w:ascii="宋体" w:hAnsi="宋体" w:cs="宋体"/>
          <w:b w:val="0"/>
          <w:bCs/>
          <w:color w:val="auto"/>
          <w:sz w:val="21"/>
          <w:szCs w:val="21"/>
          <w:highlight w:val="none"/>
          <w:lang w:eastAsia="zh-CN"/>
        </w:rPr>
        <w:t>；二包：</w:t>
      </w:r>
      <w:r>
        <w:rPr>
          <w:rFonts w:hint="eastAsia" w:ascii="宋体" w:hAnsi="宋体" w:cs="宋体"/>
          <w:b w:val="0"/>
          <w:bCs/>
          <w:color w:val="auto"/>
          <w:sz w:val="21"/>
          <w:szCs w:val="21"/>
          <w:highlight w:val="none"/>
          <w:lang w:val="en-US" w:eastAsia="zh-CN"/>
        </w:rPr>
        <w:t>21200</w:t>
      </w:r>
      <w:r>
        <w:rPr>
          <w:rFonts w:hint="eastAsia" w:ascii="宋体" w:hAnsi="宋体" w:eastAsia="宋体" w:cs="宋体"/>
          <w:b w:val="0"/>
          <w:bCs/>
          <w:color w:val="auto"/>
          <w:sz w:val="21"/>
          <w:szCs w:val="21"/>
          <w:highlight w:val="none"/>
        </w:rPr>
        <w:t>元。</w:t>
      </w:r>
    </w:p>
    <w:p w14:paraId="2D1568C8">
      <w:pPr>
        <w:keepLines w:val="0"/>
        <w:pageBreakBefore w:val="0"/>
        <w:kinsoku/>
        <w:wordWrap/>
        <w:overflowPunct/>
        <w:topLinePunct w:val="0"/>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八、凡对本次招标提出询问，请按照以下方式联系：</w:t>
      </w:r>
    </w:p>
    <w:p w14:paraId="44E6816E">
      <w:pPr>
        <w:keepLines w:val="0"/>
        <w:pageBreakBefore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采购人：</w:t>
      </w:r>
      <w:r>
        <w:rPr>
          <w:rFonts w:hint="eastAsia" w:ascii="宋体" w:hAnsi="宋体" w:cs="宋体"/>
          <w:color w:val="auto"/>
          <w:sz w:val="21"/>
          <w:szCs w:val="21"/>
          <w:highlight w:val="none"/>
          <w:lang w:val="en-US" w:eastAsia="zh-CN"/>
        </w:rPr>
        <w:t>信阳市生态环境局直属二分局</w:t>
      </w:r>
    </w:p>
    <w:p w14:paraId="0F7F373D">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w:t>
      </w:r>
      <w:r>
        <w:rPr>
          <w:rFonts w:hint="eastAsia" w:ascii="宋体" w:hAnsi="宋体" w:cs="宋体"/>
          <w:color w:val="auto"/>
          <w:sz w:val="21"/>
          <w:szCs w:val="21"/>
          <w:highlight w:val="none"/>
          <w:lang w:val="en-US" w:eastAsia="zh-CN"/>
        </w:rPr>
        <w:t>信阳市平桥区科教路</w:t>
      </w:r>
    </w:p>
    <w:p w14:paraId="1BD72F3E">
      <w:pPr>
        <w:keepLines w:val="0"/>
        <w:pageBreakBefore w:val="0"/>
        <w:kinsoku/>
        <w:wordWrap/>
        <w:overflowPunct/>
        <w:topLinePunct w:val="0"/>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焦</w:t>
      </w:r>
      <w:r>
        <w:rPr>
          <w:rFonts w:hint="eastAsia" w:ascii="宋体" w:hAnsi="宋体" w:eastAsia="宋体" w:cs="宋体"/>
          <w:color w:val="auto"/>
          <w:sz w:val="21"/>
          <w:szCs w:val="21"/>
          <w:highlight w:val="none"/>
          <w:lang w:val="en-US" w:eastAsia="zh-CN"/>
        </w:rPr>
        <w:t>先生</w:t>
      </w:r>
    </w:p>
    <w:p w14:paraId="4A8C3A71">
      <w:pPr>
        <w:keepLines w:val="0"/>
        <w:pageBreakBefore w:val="0"/>
        <w:kinsoku/>
        <w:wordWrap/>
        <w:overflowPunct/>
        <w:topLinePunct w:val="0"/>
        <w:bidi w:val="0"/>
        <w:adjustRightInd/>
        <w:snapToGrid/>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话：</w:t>
      </w:r>
      <w:r>
        <w:rPr>
          <w:rFonts w:hint="eastAsia" w:ascii="宋体" w:hAnsi="宋体" w:cs="宋体"/>
          <w:color w:val="auto"/>
          <w:sz w:val="21"/>
          <w:szCs w:val="21"/>
          <w:highlight w:val="none"/>
          <w:lang w:val="en-US" w:eastAsia="zh-CN"/>
        </w:rPr>
        <w:t>0376-3772192</w:t>
      </w:r>
    </w:p>
    <w:bookmarkEnd w:id="2"/>
    <w:p w14:paraId="746B04D2">
      <w:pPr>
        <w:pStyle w:val="2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bCs/>
          <w:color w:val="auto"/>
          <w:sz w:val="21"/>
          <w:szCs w:val="21"/>
          <w:highlight w:val="none"/>
          <w:lang w:val="en-US" w:eastAsia="zh-CN"/>
        </w:rPr>
        <w:t>采购</w:t>
      </w:r>
      <w:r>
        <w:rPr>
          <w:rFonts w:hint="eastAsia" w:ascii="宋体" w:hAnsi="宋体" w:eastAsia="宋体" w:cs="宋体"/>
          <w:color w:val="auto"/>
          <w:sz w:val="21"/>
          <w:szCs w:val="21"/>
          <w:highlight w:val="none"/>
          <w:shd w:val="clear" w:color="auto" w:fill="FFFFFF"/>
        </w:rPr>
        <w:t>代理</w:t>
      </w:r>
      <w:r>
        <w:rPr>
          <w:rFonts w:hint="eastAsia" w:ascii="宋体" w:hAnsi="宋体" w:eastAsia="宋体" w:cs="宋体"/>
          <w:color w:val="auto"/>
          <w:sz w:val="21"/>
          <w:szCs w:val="21"/>
          <w:highlight w:val="none"/>
          <w:shd w:val="clear" w:color="auto" w:fill="FFFFFF"/>
          <w:lang w:val="en-US" w:eastAsia="zh-CN"/>
        </w:rPr>
        <w:t>机构</w:t>
      </w:r>
      <w:r>
        <w:rPr>
          <w:rFonts w:hint="eastAsia" w:ascii="宋体" w:hAnsi="宋体" w:eastAsia="宋体" w:cs="宋体"/>
          <w:color w:val="auto"/>
          <w:sz w:val="21"/>
          <w:szCs w:val="21"/>
          <w:highlight w:val="none"/>
          <w:shd w:val="clear" w:color="auto" w:fill="FFFFFF"/>
        </w:rPr>
        <w:t>：</w:t>
      </w:r>
      <w:r>
        <w:rPr>
          <w:rFonts w:hint="eastAsia" w:cs="宋体"/>
          <w:color w:val="auto"/>
          <w:sz w:val="21"/>
          <w:szCs w:val="21"/>
          <w:highlight w:val="none"/>
          <w:shd w:val="clear" w:color="auto" w:fill="FFFFFF"/>
          <w:lang w:val="en-US" w:eastAsia="zh-CN"/>
        </w:rPr>
        <w:t>中金泰富工程管理有限公司</w:t>
      </w:r>
    </w:p>
    <w:p w14:paraId="131C2A3C">
      <w:pPr>
        <w:pStyle w:val="2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地址：</w:t>
      </w:r>
      <w:r>
        <w:rPr>
          <w:rFonts w:hint="eastAsia" w:cs="宋体"/>
          <w:color w:val="auto"/>
          <w:sz w:val="21"/>
          <w:szCs w:val="21"/>
          <w:highlight w:val="none"/>
          <w:shd w:val="clear" w:color="auto" w:fill="FFFFFF"/>
          <w:lang w:val="en-US" w:eastAsia="zh-CN"/>
        </w:rPr>
        <w:t>郑州市红专路与经七路交叉口向北200米路东中亨大厦7楼712室</w:t>
      </w:r>
    </w:p>
    <w:p w14:paraId="4E7A0E46">
      <w:pPr>
        <w:pStyle w:val="2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联系人：</w:t>
      </w:r>
      <w:r>
        <w:rPr>
          <w:rFonts w:hint="eastAsia" w:cs="宋体"/>
          <w:color w:val="auto"/>
          <w:sz w:val="21"/>
          <w:szCs w:val="21"/>
          <w:highlight w:val="none"/>
          <w:shd w:val="clear" w:color="auto" w:fill="FFFFFF"/>
          <w:lang w:val="en-US" w:eastAsia="zh-CN"/>
        </w:rPr>
        <w:t>许先生</w:t>
      </w:r>
    </w:p>
    <w:p w14:paraId="7FA52922">
      <w:pPr>
        <w:pStyle w:val="2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电话：</w:t>
      </w:r>
      <w:r>
        <w:rPr>
          <w:rFonts w:hint="eastAsia" w:cs="宋体"/>
          <w:color w:val="auto"/>
          <w:sz w:val="21"/>
          <w:szCs w:val="21"/>
          <w:highlight w:val="none"/>
          <w:shd w:val="clear" w:color="auto" w:fill="FFFFFF"/>
          <w:lang w:val="en-US" w:eastAsia="zh-CN"/>
        </w:rPr>
        <w:t>15518597586</w:t>
      </w:r>
    </w:p>
    <w:p w14:paraId="0F70963C">
      <w:pPr>
        <w:keepLines w:val="0"/>
        <w:pageBreakBefore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3.项目联系方式</w:t>
      </w:r>
    </w:p>
    <w:p w14:paraId="0EDA99FC">
      <w:pPr>
        <w:keepLines w:val="0"/>
        <w:pageBreakBefore w:val="0"/>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w:t>
      </w:r>
      <w:r>
        <w:rPr>
          <w:rFonts w:hint="eastAsia" w:ascii="宋体" w:hAnsi="宋体" w:cs="宋体"/>
          <w:color w:val="auto"/>
          <w:sz w:val="21"/>
          <w:szCs w:val="21"/>
          <w:highlight w:val="none"/>
          <w:lang w:val="en-US" w:eastAsia="zh-CN"/>
        </w:rPr>
        <w:t>许先生</w:t>
      </w:r>
    </w:p>
    <w:p w14:paraId="1B896BA0">
      <w:pPr>
        <w:keepLines w:val="0"/>
        <w:pageBreakBefore w:val="0"/>
        <w:widowControl/>
        <w:numPr>
          <w:ilvl w:val="0"/>
          <w:numId w:val="0"/>
        </w:numPr>
        <w:kinsoku/>
        <w:wordWrap/>
        <w:overflowPunct/>
        <w:topLinePunct w:val="0"/>
        <w:bidi w:val="0"/>
        <w:adjustRightInd/>
        <w:snapToGrid/>
        <w:spacing w:line="400" w:lineRule="exact"/>
        <w:ind w:left="418" w:leftChars="0"/>
        <w:jc w:val="left"/>
        <w:textAlignment w:val="auto"/>
        <w:rPr>
          <w:rFonts w:hint="eastAsia" w:ascii="宋体" w:hAnsi="宋体" w:eastAsia="宋体" w:cs="宋体"/>
          <w:b/>
          <w:bCs/>
          <w:color w:val="auto"/>
          <w:sz w:val="21"/>
          <w:szCs w:val="21"/>
          <w:highlight w:val="none"/>
        </w:rPr>
        <w:sectPr>
          <w:footerReference r:id="rId8" w:type="first"/>
          <w:headerReference r:id="rId6" w:type="default"/>
          <w:footerReference r:id="rId7" w:type="default"/>
          <w:pgSz w:w="11907" w:h="16840"/>
          <w:pgMar w:top="1418" w:right="1247" w:bottom="1247" w:left="1417" w:header="964" w:footer="850" w:gutter="0"/>
          <w:pgNumType w:fmt="numberInDash" w:start="1"/>
          <w:cols w:space="720" w:num="1"/>
          <w:docGrid w:linePitch="306" w:charSpace="-2"/>
        </w:sectPr>
      </w:pPr>
      <w:r>
        <w:rPr>
          <w:rFonts w:hint="eastAsia" w:ascii="宋体" w:hAnsi="宋体" w:eastAsia="宋体" w:cs="宋体"/>
          <w:color w:val="auto"/>
          <w:sz w:val="21"/>
          <w:szCs w:val="21"/>
          <w:highlight w:val="none"/>
          <w:lang w:val="en-US" w:eastAsia="zh-CN"/>
        </w:rPr>
        <w:t>联系方式：</w:t>
      </w:r>
      <w:r>
        <w:rPr>
          <w:rFonts w:hint="eastAsia" w:ascii="宋体" w:hAnsi="宋体" w:cs="宋体"/>
          <w:color w:val="auto"/>
          <w:sz w:val="21"/>
          <w:szCs w:val="21"/>
          <w:highlight w:val="none"/>
          <w:lang w:val="en-US" w:eastAsia="zh-CN"/>
        </w:rPr>
        <w:t>15518597586</w:t>
      </w:r>
    </w:p>
    <w:p w14:paraId="38EA8ED4">
      <w:pPr>
        <w:keepNext/>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第二章 投标人须知</w:t>
      </w:r>
    </w:p>
    <w:p w14:paraId="63AD9C00">
      <w:pPr>
        <w:keepNext/>
        <w:keepLines/>
        <w:spacing w:line="360" w:lineRule="auto"/>
        <w:jc w:val="center"/>
        <w:outlineLvl w:val="1"/>
        <w:rPr>
          <w:rFonts w:hint="eastAsia" w:ascii="宋体" w:hAnsi="宋体" w:eastAsia="宋体" w:cs="宋体"/>
          <w:b/>
          <w:bCs/>
          <w:color w:val="auto"/>
          <w:sz w:val="32"/>
          <w:szCs w:val="32"/>
          <w:highlight w:val="none"/>
        </w:rPr>
      </w:pPr>
      <w:bookmarkStart w:id="5" w:name="_Toc15200"/>
      <w:bookmarkStart w:id="6" w:name="_Toc16849"/>
      <w:bookmarkStart w:id="7" w:name="_Toc414956950"/>
      <w:r>
        <w:rPr>
          <w:rFonts w:hint="eastAsia" w:ascii="宋体" w:hAnsi="宋体" w:eastAsia="宋体" w:cs="宋体"/>
          <w:b/>
          <w:color w:val="auto"/>
          <w:sz w:val="24"/>
          <w:szCs w:val="24"/>
          <w:highlight w:val="none"/>
        </w:rPr>
        <w:t>投标须知前附表</w:t>
      </w:r>
      <w:bookmarkEnd w:id="5"/>
      <w:bookmarkEnd w:id="6"/>
      <w:bookmarkEnd w:id="7"/>
    </w:p>
    <w:bookmarkEnd w:id="3"/>
    <w:bookmarkEnd w:id="4"/>
    <w:tbl>
      <w:tblPr>
        <w:tblStyle w:val="23"/>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913"/>
        <w:gridCol w:w="6909"/>
      </w:tblGrid>
      <w:tr w14:paraId="4688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0" w:type="dxa"/>
            <w:noWrap w:val="0"/>
            <w:vAlign w:val="bottom"/>
          </w:tcPr>
          <w:p w14:paraId="4513ED4B">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b/>
                <w:color w:val="auto"/>
                <w:kern w:val="0"/>
                <w:sz w:val="21"/>
                <w:szCs w:val="21"/>
                <w:highlight w:val="none"/>
              </w:rPr>
            </w:pPr>
            <w:bookmarkStart w:id="8" w:name="_Toc244934194"/>
            <w:bookmarkStart w:id="9" w:name="_Toc244935163"/>
            <w:r>
              <w:rPr>
                <w:rFonts w:hint="eastAsia" w:ascii="宋体" w:hAnsi="宋体" w:eastAsia="宋体" w:cs="宋体"/>
                <w:b/>
                <w:color w:val="auto"/>
                <w:kern w:val="0"/>
                <w:sz w:val="21"/>
                <w:szCs w:val="21"/>
                <w:highlight w:val="none"/>
              </w:rPr>
              <w:t>条款号</w:t>
            </w:r>
          </w:p>
        </w:tc>
        <w:tc>
          <w:tcPr>
            <w:tcW w:w="1913" w:type="dxa"/>
            <w:noWrap w:val="0"/>
            <w:vAlign w:val="bottom"/>
          </w:tcPr>
          <w:p w14:paraId="7EA91AF0">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条 款 名 称</w:t>
            </w:r>
          </w:p>
        </w:tc>
        <w:tc>
          <w:tcPr>
            <w:tcW w:w="6909" w:type="dxa"/>
            <w:noWrap w:val="0"/>
            <w:vAlign w:val="bottom"/>
          </w:tcPr>
          <w:p w14:paraId="12E07436">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编 列 内 容</w:t>
            </w:r>
          </w:p>
        </w:tc>
      </w:tr>
      <w:tr w14:paraId="580B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920" w:type="dxa"/>
            <w:noWrap w:val="0"/>
            <w:vAlign w:val="center"/>
          </w:tcPr>
          <w:p w14:paraId="1077D570">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w:t>
            </w:r>
          </w:p>
        </w:tc>
        <w:tc>
          <w:tcPr>
            <w:tcW w:w="1913" w:type="dxa"/>
            <w:noWrap w:val="0"/>
            <w:vAlign w:val="center"/>
          </w:tcPr>
          <w:p w14:paraId="3FE1C8EE">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w:t>
            </w:r>
          </w:p>
        </w:tc>
        <w:tc>
          <w:tcPr>
            <w:tcW w:w="6909" w:type="dxa"/>
            <w:noWrap w:val="0"/>
            <w:vAlign w:val="center"/>
          </w:tcPr>
          <w:p w14:paraId="5F58EC4C">
            <w:pPr>
              <w:keepNext w:val="0"/>
              <w:keepLines w:val="0"/>
              <w:pageBreakBefore w:val="0"/>
              <w:kinsoku/>
              <w:overflowPunct/>
              <w:bidi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w:t>
            </w:r>
            <w:r>
              <w:rPr>
                <w:rFonts w:hint="eastAsia" w:ascii="宋体" w:hAnsi="宋体" w:cs="宋体"/>
                <w:color w:val="auto"/>
                <w:kern w:val="0"/>
                <w:sz w:val="21"/>
                <w:szCs w:val="21"/>
                <w:highlight w:val="none"/>
                <w:lang w:val="en-US" w:eastAsia="zh-CN"/>
              </w:rPr>
              <w:t>信阳市生态环境局直属二分局</w:t>
            </w:r>
          </w:p>
          <w:p w14:paraId="6E9B7A6D">
            <w:pPr>
              <w:keepNext w:val="0"/>
              <w:keepLines w:val="0"/>
              <w:pageBreakBefore w:val="0"/>
              <w:kinsoku/>
              <w:overflowPunct/>
              <w:bidi w:val="0"/>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址：</w:t>
            </w:r>
            <w:r>
              <w:rPr>
                <w:rFonts w:hint="eastAsia" w:ascii="宋体" w:hAnsi="宋体" w:cs="宋体"/>
                <w:color w:val="auto"/>
                <w:sz w:val="21"/>
                <w:szCs w:val="21"/>
                <w:highlight w:val="none"/>
                <w:lang w:val="en-US" w:eastAsia="zh-CN"/>
              </w:rPr>
              <w:t>信阳市平桥区科教路</w:t>
            </w:r>
          </w:p>
          <w:p w14:paraId="53FD93F9">
            <w:pPr>
              <w:keepNext w:val="0"/>
              <w:keepLines w:val="0"/>
              <w:pageBreakBefore w:val="0"/>
              <w:kinsoku/>
              <w:overflowPunct/>
              <w:bidi w:val="0"/>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联系人：</w:t>
            </w:r>
            <w:r>
              <w:rPr>
                <w:rFonts w:hint="eastAsia" w:ascii="宋体" w:hAnsi="宋体" w:cs="宋体"/>
                <w:color w:val="auto"/>
                <w:sz w:val="21"/>
                <w:szCs w:val="21"/>
                <w:highlight w:val="none"/>
                <w:lang w:val="en-US" w:eastAsia="zh-CN"/>
              </w:rPr>
              <w:t>焦</w:t>
            </w:r>
            <w:r>
              <w:rPr>
                <w:rFonts w:hint="eastAsia" w:ascii="宋体" w:hAnsi="宋体" w:eastAsia="宋体" w:cs="宋体"/>
                <w:color w:val="auto"/>
                <w:sz w:val="21"/>
                <w:szCs w:val="21"/>
                <w:highlight w:val="none"/>
                <w:lang w:val="en-US" w:eastAsia="zh-CN"/>
              </w:rPr>
              <w:t>先生</w:t>
            </w:r>
          </w:p>
          <w:p w14:paraId="61897ED8">
            <w:pPr>
              <w:keepNext w:val="0"/>
              <w:keepLines w:val="0"/>
              <w:pageBreakBefore w:val="0"/>
              <w:kinsoku/>
              <w:overflowPunct/>
              <w:bidi w:val="0"/>
              <w:spacing w:line="400" w:lineRule="exac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电</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话：</w:t>
            </w:r>
            <w:r>
              <w:rPr>
                <w:rFonts w:hint="eastAsia" w:ascii="宋体" w:hAnsi="宋体" w:cs="宋体"/>
                <w:color w:val="auto"/>
                <w:kern w:val="0"/>
                <w:sz w:val="21"/>
                <w:szCs w:val="21"/>
                <w:highlight w:val="none"/>
                <w:lang w:val="en-US" w:eastAsia="zh-CN"/>
              </w:rPr>
              <w:t>0376-3772192</w:t>
            </w:r>
          </w:p>
        </w:tc>
      </w:tr>
      <w:tr w14:paraId="685F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920" w:type="dxa"/>
            <w:noWrap w:val="0"/>
            <w:vAlign w:val="center"/>
          </w:tcPr>
          <w:p w14:paraId="0376C225">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w:t>
            </w:r>
          </w:p>
        </w:tc>
        <w:tc>
          <w:tcPr>
            <w:tcW w:w="1913" w:type="dxa"/>
            <w:noWrap w:val="0"/>
            <w:vAlign w:val="center"/>
          </w:tcPr>
          <w:p w14:paraId="3E3CF872">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采购代理机构</w:t>
            </w:r>
          </w:p>
        </w:tc>
        <w:tc>
          <w:tcPr>
            <w:tcW w:w="6909" w:type="dxa"/>
            <w:noWrap w:val="0"/>
            <w:vAlign w:val="top"/>
          </w:tcPr>
          <w:p w14:paraId="3DB8B784">
            <w:pPr>
              <w:pStyle w:val="2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bCs/>
                <w:color w:val="auto"/>
                <w:sz w:val="21"/>
                <w:szCs w:val="21"/>
                <w:highlight w:val="none"/>
                <w:lang w:val="en-US" w:eastAsia="zh-CN"/>
              </w:rPr>
              <w:t>采购</w:t>
            </w:r>
            <w:r>
              <w:rPr>
                <w:rFonts w:hint="eastAsia" w:ascii="宋体" w:hAnsi="宋体" w:eastAsia="宋体" w:cs="宋体"/>
                <w:color w:val="auto"/>
                <w:sz w:val="21"/>
                <w:szCs w:val="21"/>
                <w:highlight w:val="none"/>
                <w:shd w:val="clear" w:color="auto" w:fill="FFFFFF"/>
              </w:rPr>
              <w:t>代理</w:t>
            </w:r>
            <w:r>
              <w:rPr>
                <w:rFonts w:hint="eastAsia" w:ascii="宋体" w:hAnsi="宋体" w:eastAsia="宋体" w:cs="宋体"/>
                <w:color w:val="auto"/>
                <w:sz w:val="21"/>
                <w:szCs w:val="21"/>
                <w:highlight w:val="none"/>
                <w:shd w:val="clear" w:color="auto" w:fill="FFFFFF"/>
                <w:lang w:val="en-US" w:eastAsia="zh-CN"/>
              </w:rPr>
              <w:t>机构</w:t>
            </w:r>
            <w:r>
              <w:rPr>
                <w:rFonts w:hint="eastAsia" w:ascii="宋体" w:hAnsi="宋体" w:eastAsia="宋体" w:cs="宋体"/>
                <w:color w:val="auto"/>
                <w:sz w:val="21"/>
                <w:szCs w:val="21"/>
                <w:highlight w:val="none"/>
                <w:shd w:val="clear" w:color="auto" w:fill="FFFFFF"/>
              </w:rPr>
              <w:t>：</w:t>
            </w:r>
            <w:r>
              <w:rPr>
                <w:rFonts w:hint="eastAsia" w:cs="宋体"/>
                <w:color w:val="auto"/>
                <w:sz w:val="21"/>
                <w:szCs w:val="21"/>
                <w:highlight w:val="none"/>
                <w:shd w:val="clear" w:color="auto" w:fill="FFFFFF"/>
                <w:lang w:val="en-US" w:eastAsia="zh-CN"/>
              </w:rPr>
              <w:t>中金泰富工程管理有限公司</w:t>
            </w:r>
          </w:p>
          <w:p w14:paraId="38844F98">
            <w:pPr>
              <w:pStyle w:val="2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地址：</w:t>
            </w:r>
            <w:r>
              <w:rPr>
                <w:rFonts w:hint="eastAsia" w:cs="宋体"/>
                <w:color w:val="auto"/>
                <w:sz w:val="21"/>
                <w:szCs w:val="21"/>
                <w:highlight w:val="none"/>
                <w:shd w:val="clear" w:color="auto" w:fill="FFFFFF"/>
                <w:lang w:val="en-US" w:eastAsia="zh-CN"/>
              </w:rPr>
              <w:t>郑州市红专路与经七路交叉口向北200米路东中亨大厦7楼712室</w:t>
            </w:r>
          </w:p>
          <w:p w14:paraId="78562FAB">
            <w:pPr>
              <w:pStyle w:val="2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联系人：</w:t>
            </w:r>
            <w:r>
              <w:rPr>
                <w:rFonts w:hint="eastAsia" w:cs="宋体"/>
                <w:color w:val="auto"/>
                <w:sz w:val="21"/>
                <w:szCs w:val="21"/>
                <w:highlight w:val="none"/>
                <w:shd w:val="clear" w:color="auto" w:fill="FFFFFF"/>
                <w:lang w:val="en-US" w:eastAsia="zh-CN"/>
              </w:rPr>
              <w:t>许先生</w:t>
            </w:r>
          </w:p>
          <w:p w14:paraId="0F3B24F9">
            <w:pPr>
              <w:keepNext w:val="0"/>
              <w:keepLines w:val="0"/>
              <w:pageBreakBefore w:val="0"/>
              <w:kinsoku/>
              <w:overflowPunct/>
              <w:bidi w:val="0"/>
              <w:spacing w:line="400" w:lineRule="exact"/>
              <w:ind w:left="0" w:leftChars="0"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shd w:val="clear" w:color="auto" w:fill="FFFFFF"/>
                <w:lang w:val="en-US" w:eastAsia="zh-CN"/>
              </w:rPr>
              <w:t>电话：</w:t>
            </w:r>
            <w:r>
              <w:rPr>
                <w:rFonts w:hint="eastAsia" w:ascii="宋体" w:hAnsi="宋体" w:cs="宋体"/>
                <w:color w:val="auto"/>
                <w:sz w:val="21"/>
                <w:szCs w:val="21"/>
                <w:highlight w:val="none"/>
                <w:shd w:val="clear" w:color="auto" w:fill="FFFFFF"/>
                <w:lang w:val="en-US" w:eastAsia="zh-CN"/>
              </w:rPr>
              <w:t>15518597586</w:t>
            </w:r>
          </w:p>
        </w:tc>
      </w:tr>
      <w:tr w14:paraId="0148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20" w:type="dxa"/>
            <w:noWrap w:val="0"/>
            <w:vAlign w:val="center"/>
          </w:tcPr>
          <w:p w14:paraId="0718BB00">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w:t>
            </w:r>
          </w:p>
        </w:tc>
        <w:tc>
          <w:tcPr>
            <w:tcW w:w="1913" w:type="dxa"/>
            <w:noWrap w:val="0"/>
            <w:vAlign w:val="center"/>
          </w:tcPr>
          <w:p w14:paraId="3E71CEC1">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6909" w:type="dxa"/>
            <w:noWrap w:val="0"/>
            <w:vAlign w:val="center"/>
          </w:tcPr>
          <w:p w14:paraId="61EA2162">
            <w:pPr>
              <w:keepNext w:val="0"/>
              <w:keepLines w:val="0"/>
              <w:pageBreakBefore w:val="0"/>
              <w:kinsoku/>
              <w:overflowPunct/>
              <w:bidi w:val="0"/>
              <w:spacing w:line="400" w:lineRule="exact"/>
              <w:rPr>
                <w:rFonts w:hint="eastAsia" w:ascii="宋体" w:hAnsi="宋体" w:eastAsia="宋体" w:cs="宋体"/>
                <w:color w:val="auto"/>
                <w:sz w:val="21"/>
                <w:szCs w:val="21"/>
                <w:highlight w:val="none"/>
                <w:lang w:val="en-US" w:eastAsia="zh-CN"/>
              </w:rPr>
            </w:pPr>
            <w:r>
              <w:rPr>
                <w:rFonts w:hint="default" w:ascii="宋体" w:hAnsi="宋体" w:cs="宋体"/>
                <w:color w:val="auto"/>
                <w:sz w:val="21"/>
                <w:szCs w:val="21"/>
                <w:highlight w:val="none"/>
                <w:lang w:val="en-US" w:eastAsia="zh-CN"/>
              </w:rPr>
              <w:t>信阳市平桥区17个建制乡（镇）环境空气质量自动监测站运维采购项目</w:t>
            </w:r>
          </w:p>
        </w:tc>
      </w:tr>
      <w:tr w14:paraId="0C5F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20" w:type="dxa"/>
            <w:noWrap w:val="0"/>
            <w:vAlign w:val="center"/>
          </w:tcPr>
          <w:p w14:paraId="6F903332">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w:t>
            </w:r>
          </w:p>
        </w:tc>
        <w:tc>
          <w:tcPr>
            <w:tcW w:w="1913" w:type="dxa"/>
            <w:noWrap w:val="0"/>
            <w:vAlign w:val="center"/>
          </w:tcPr>
          <w:p w14:paraId="261A3F59">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最高限价</w:t>
            </w:r>
          </w:p>
        </w:tc>
        <w:tc>
          <w:tcPr>
            <w:tcW w:w="6909" w:type="dxa"/>
            <w:noWrap w:val="0"/>
            <w:vAlign w:val="center"/>
          </w:tcPr>
          <w:p w14:paraId="744DE8C6">
            <w:pPr>
              <w:pStyle w:val="21"/>
              <w:keepNext w:val="0"/>
              <w:keepLines w:val="0"/>
              <w:pageBreakBefore w:val="0"/>
              <w:kinsoku/>
              <w:overflowPunct/>
              <w:bidi w:val="0"/>
              <w:spacing w:after="0" w:afterLines="0" w:line="40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最高限价</w:t>
            </w:r>
            <w:r>
              <w:rPr>
                <w:rFonts w:hint="eastAsia" w:ascii="宋体" w:hAnsi="宋体" w:eastAsia="宋体" w:cs="宋体"/>
                <w:b/>
                <w:bCs/>
                <w:color w:val="auto"/>
                <w:kern w:val="0"/>
                <w:sz w:val="21"/>
                <w:szCs w:val="21"/>
                <w:highlight w:val="none"/>
              </w:rPr>
              <w:t>：</w:t>
            </w:r>
            <w:r>
              <w:rPr>
                <w:rFonts w:hint="eastAsia" w:ascii="宋体" w:hAnsi="宋体" w:cs="宋体"/>
                <w:b/>
                <w:bCs/>
                <w:color w:val="auto"/>
                <w:kern w:val="0"/>
                <w:sz w:val="21"/>
                <w:szCs w:val="21"/>
                <w:highlight w:val="none"/>
                <w:lang w:eastAsia="zh-CN"/>
              </w:rPr>
              <w:t>一包：</w:t>
            </w:r>
            <w:r>
              <w:rPr>
                <w:rFonts w:hint="eastAsia" w:ascii="宋体" w:hAnsi="宋体" w:eastAsia="宋体" w:cs="宋体"/>
                <w:b/>
                <w:bCs/>
                <w:color w:val="auto"/>
                <w:kern w:val="0"/>
                <w:sz w:val="21"/>
                <w:szCs w:val="21"/>
                <w:highlight w:val="none"/>
                <w:lang w:val="en-US" w:eastAsia="zh-CN"/>
              </w:rPr>
              <w:t>3261360元；二包：1358900元</w:t>
            </w:r>
          </w:p>
          <w:p w14:paraId="5C86D8AA">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投标人的投标报价不得超出最高限价，否则投标无效。</w:t>
            </w:r>
          </w:p>
        </w:tc>
      </w:tr>
      <w:tr w14:paraId="7113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20" w:type="dxa"/>
            <w:noWrap w:val="0"/>
            <w:vAlign w:val="center"/>
          </w:tcPr>
          <w:p w14:paraId="485E655D">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1.1.6</w:t>
            </w:r>
          </w:p>
        </w:tc>
        <w:tc>
          <w:tcPr>
            <w:tcW w:w="1913" w:type="dxa"/>
            <w:noWrap w:val="0"/>
            <w:vAlign w:val="center"/>
          </w:tcPr>
          <w:p w14:paraId="65B45CB6">
            <w:pPr>
              <w:keepNext w:val="0"/>
              <w:keepLines w:val="0"/>
              <w:pageBreakBefore w:val="0"/>
              <w:kinsoku/>
              <w:overflowPunct/>
              <w:autoSpaceDE w:val="0"/>
              <w:autoSpaceDN w:val="0"/>
              <w:bidi w:val="0"/>
              <w:adjustRightInd w:val="0"/>
              <w:spacing w:line="400" w:lineRule="exact"/>
              <w:ind w:right="35"/>
              <w:jc w:val="center"/>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采购方式</w:t>
            </w:r>
          </w:p>
        </w:tc>
        <w:tc>
          <w:tcPr>
            <w:tcW w:w="6909" w:type="dxa"/>
            <w:noWrap w:val="0"/>
            <w:vAlign w:val="center"/>
          </w:tcPr>
          <w:p w14:paraId="7F4992F5">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公开招标</w:t>
            </w:r>
          </w:p>
        </w:tc>
      </w:tr>
      <w:tr w14:paraId="3238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20" w:type="dxa"/>
            <w:noWrap w:val="0"/>
            <w:vAlign w:val="center"/>
          </w:tcPr>
          <w:p w14:paraId="438F7B45">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w:t>
            </w:r>
          </w:p>
        </w:tc>
        <w:tc>
          <w:tcPr>
            <w:tcW w:w="1913" w:type="dxa"/>
            <w:noWrap w:val="0"/>
            <w:vAlign w:val="center"/>
          </w:tcPr>
          <w:p w14:paraId="77106775">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6909" w:type="dxa"/>
            <w:noWrap w:val="0"/>
            <w:vAlign w:val="center"/>
          </w:tcPr>
          <w:p w14:paraId="59224B95">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财政</w:t>
            </w:r>
            <w:r>
              <w:rPr>
                <w:rFonts w:hint="eastAsia" w:ascii="宋体" w:hAnsi="宋体" w:eastAsia="宋体" w:cs="宋体"/>
                <w:color w:val="auto"/>
                <w:kern w:val="0"/>
                <w:sz w:val="21"/>
                <w:szCs w:val="21"/>
                <w:highlight w:val="none"/>
              </w:rPr>
              <w:t>资金</w:t>
            </w:r>
          </w:p>
        </w:tc>
      </w:tr>
      <w:tr w14:paraId="0B1C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0" w:type="dxa"/>
            <w:noWrap w:val="0"/>
            <w:vAlign w:val="center"/>
          </w:tcPr>
          <w:p w14:paraId="3EE95533">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w:t>
            </w:r>
          </w:p>
        </w:tc>
        <w:tc>
          <w:tcPr>
            <w:tcW w:w="1913" w:type="dxa"/>
            <w:noWrap w:val="0"/>
            <w:vAlign w:val="center"/>
          </w:tcPr>
          <w:p w14:paraId="38B6DCB0">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出资比例</w:t>
            </w:r>
          </w:p>
        </w:tc>
        <w:tc>
          <w:tcPr>
            <w:tcW w:w="6909" w:type="dxa"/>
            <w:noWrap w:val="0"/>
            <w:vAlign w:val="center"/>
          </w:tcPr>
          <w:p w14:paraId="22ABCA7A">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100%</w:t>
            </w:r>
          </w:p>
        </w:tc>
      </w:tr>
      <w:tr w14:paraId="6017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20" w:type="dxa"/>
            <w:noWrap w:val="0"/>
            <w:vAlign w:val="center"/>
          </w:tcPr>
          <w:p w14:paraId="04C51049">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1.3.1</w:t>
            </w:r>
          </w:p>
        </w:tc>
        <w:tc>
          <w:tcPr>
            <w:tcW w:w="1913" w:type="dxa"/>
            <w:noWrap w:val="0"/>
            <w:vAlign w:val="center"/>
          </w:tcPr>
          <w:p w14:paraId="103CD09A">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采购内容</w:t>
            </w:r>
          </w:p>
        </w:tc>
        <w:tc>
          <w:tcPr>
            <w:tcW w:w="6909" w:type="dxa"/>
            <w:noWrap w:val="0"/>
            <w:vAlign w:val="center"/>
          </w:tcPr>
          <w:p w14:paraId="64255805">
            <w:pPr>
              <w:keepNext w:val="0"/>
              <w:keepLines w:val="0"/>
              <w:pageBreakBefore w:val="0"/>
              <w:kinsoku/>
              <w:overflowPunct/>
              <w:autoSpaceDE w:val="0"/>
              <w:autoSpaceDN w:val="0"/>
              <w:bidi w:val="0"/>
              <w:adjustRightInd w:val="0"/>
              <w:spacing w:line="400" w:lineRule="exact"/>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平桥区17个建制乡（镇）环境空气质量自动监测站运维服务</w:t>
            </w:r>
            <w:r>
              <w:rPr>
                <w:rFonts w:hint="eastAsia" w:ascii="宋体" w:hAnsi="宋体" w:eastAsia="宋体" w:cs="宋体"/>
                <w:color w:val="auto"/>
                <w:sz w:val="21"/>
                <w:szCs w:val="21"/>
                <w:highlight w:val="none"/>
                <w:lang w:val="en-US" w:eastAsia="zh-CN"/>
              </w:rPr>
              <w:t>，负责运维的设备主要包括监测仪器、辅助设备和监测站房</w:t>
            </w:r>
            <w:r>
              <w:rPr>
                <w:rFonts w:hint="eastAsia" w:ascii="宋体" w:hAnsi="宋体" w:cs="宋体"/>
                <w:color w:val="auto"/>
                <w:sz w:val="21"/>
                <w:szCs w:val="21"/>
                <w:highlight w:val="none"/>
                <w:lang w:val="en-US" w:eastAsia="zh-CN"/>
              </w:rPr>
              <w:t>等</w:t>
            </w:r>
          </w:p>
        </w:tc>
      </w:tr>
      <w:tr w14:paraId="6064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0" w:type="dxa"/>
            <w:noWrap w:val="0"/>
            <w:vAlign w:val="center"/>
          </w:tcPr>
          <w:p w14:paraId="788EC4CC">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w:t>
            </w:r>
          </w:p>
        </w:tc>
        <w:tc>
          <w:tcPr>
            <w:tcW w:w="1913" w:type="dxa"/>
            <w:noWrap w:val="0"/>
            <w:vAlign w:val="center"/>
          </w:tcPr>
          <w:p w14:paraId="18A13E48">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质量要求</w:t>
            </w:r>
          </w:p>
        </w:tc>
        <w:tc>
          <w:tcPr>
            <w:tcW w:w="6909" w:type="dxa"/>
            <w:noWrap w:val="0"/>
            <w:vAlign w:val="center"/>
          </w:tcPr>
          <w:p w14:paraId="3C2FBC9A">
            <w:pPr>
              <w:keepNext w:val="0"/>
              <w:keepLines w:val="0"/>
              <w:pageBreakBefore w:val="0"/>
              <w:kinsoku/>
              <w:overflowPunct/>
              <w:autoSpaceDE w:val="0"/>
              <w:autoSpaceDN w:val="0"/>
              <w:bidi w:val="0"/>
              <w:adjustRightInd w:val="0"/>
              <w:spacing w:line="400" w:lineRule="exact"/>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合格</w:t>
            </w:r>
          </w:p>
        </w:tc>
      </w:tr>
      <w:tr w14:paraId="4D04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0" w:type="dxa"/>
            <w:noWrap w:val="0"/>
            <w:vAlign w:val="center"/>
          </w:tcPr>
          <w:p w14:paraId="051A0245">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w:t>
            </w:r>
          </w:p>
        </w:tc>
        <w:tc>
          <w:tcPr>
            <w:tcW w:w="1913" w:type="dxa"/>
            <w:noWrap w:val="0"/>
            <w:vAlign w:val="center"/>
          </w:tcPr>
          <w:p w14:paraId="324CB564">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服务期限</w:t>
            </w:r>
          </w:p>
        </w:tc>
        <w:tc>
          <w:tcPr>
            <w:tcW w:w="6909" w:type="dxa"/>
            <w:noWrap w:val="0"/>
            <w:vAlign w:val="center"/>
          </w:tcPr>
          <w:p w14:paraId="512FF85B">
            <w:pPr>
              <w:keepNext w:val="0"/>
              <w:keepLines w:val="0"/>
              <w:pageBreakBefore w:val="0"/>
              <w:kinsoku/>
              <w:overflowPunct/>
              <w:autoSpaceDE w:val="0"/>
              <w:autoSpaceDN w:val="0"/>
              <w:bidi w:val="0"/>
              <w:adjustRightInd w:val="0"/>
              <w:spacing w:line="400" w:lineRule="exact"/>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年</w:t>
            </w:r>
          </w:p>
        </w:tc>
      </w:tr>
      <w:tr w14:paraId="497B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20" w:type="dxa"/>
            <w:tcBorders>
              <w:top w:val="single" w:color="auto" w:sz="4" w:space="0"/>
            </w:tcBorders>
            <w:noWrap w:val="0"/>
            <w:vAlign w:val="center"/>
          </w:tcPr>
          <w:p w14:paraId="32256A3B">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w:t>
            </w:r>
          </w:p>
        </w:tc>
        <w:tc>
          <w:tcPr>
            <w:tcW w:w="1913" w:type="dxa"/>
            <w:tcBorders>
              <w:top w:val="single" w:color="auto" w:sz="4" w:space="0"/>
            </w:tcBorders>
            <w:noWrap w:val="0"/>
            <w:vAlign w:val="center"/>
          </w:tcPr>
          <w:p w14:paraId="04733618">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投标人资格要求</w:t>
            </w:r>
          </w:p>
        </w:tc>
        <w:tc>
          <w:tcPr>
            <w:tcW w:w="6909" w:type="dxa"/>
            <w:tcBorders>
              <w:top w:val="single" w:color="auto" w:sz="4" w:space="0"/>
            </w:tcBorders>
            <w:noWrap w:val="0"/>
            <w:vAlign w:val="center"/>
          </w:tcPr>
          <w:p w14:paraId="25366C0A">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1.满足《中华人民共和国政府采购法》第二十二条规定。</w:t>
            </w:r>
          </w:p>
          <w:p w14:paraId="2D6E8806">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2.落实政府采购政策满足的资格要求：</w:t>
            </w:r>
            <w:r>
              <w:rPr>
                <w:rFonts w:hint="eastAsia" w:ascii="宋体" w:hAnsi="宋体" w:eastAsia="宋体" w:cs="宋体"/>
                <w:bCs/>
                <w:color w:val="auto"/>
                <w:sz w:val="21"/>
                <w:szCs w:val="21"/>
                <w:highlight w:val="none"/>
                <w:lang w:val="en-US" w:eastAsia="zh-CN"/>
              </w:rPr>
              <w:t>本项目非专门面向中小企业采购【该项目符合《政府采购促进中小企业发展管理办法》（财库【2020】46号）第六条第3款之规定：按照本办法规定预留采购份额无法确保充分供应、充分竞争，或者存在可能影响政府采购目标实现的情形】。本项目落实节约能源、保护环境、扶持不发达地区和少数民族地区、促进中小微企业、监狱企业及残疾人福利性单位发展等政府采购政策。</w:t>
            </w:r>
          </w:p>
          <w:p w14:paraId="5845BB86">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p>
          <w:p w14:paraId="1160E31E">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提供查询截图。【查询渠道：“信用中国”网站（www.creditchina.gov.cn）、中国政府采购网（www.ccgp.gov.cn）】；</w:t>
            </w:r>
          </w:p>
          <w:p w14:paraId="32A5D3A9">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3.2本项目不接受联合体投标。</w:t>
            </w:r>
          </w:p>
          <w:p w14:paraId="3BE51E83">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4、其他说明：</w:t>
            </w:r>
          </w:p>
          <w:p w14:paraId="714004FD">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4.1单位负责人为同一人或者存在直接控股、管理关系的不同单位，不得同时参加同一合同项下的政府采购活动。</w:t>
            </w:r>
          </w:p>
          <w:p w14:paraId="7C957EFD">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4.2本项目</w:t>
            </w:r>
            <w:r>
              <w:rPr>
                <w:rFonts w:hint="eastAsia" w:ascii="宋体" w:hAnsi="宋体" w:eastAsia="宋体" w:cs="宋体"/>
                <w:b/>
                <w:bCs/>
                <w:color w:val="auto"/>
                <w:sz w:val="21"/>
                <w:szCs w:val="21"/>
                <w:highlight w:val="none"/>
                <w:u w:val="single"/>
                <w:lang w:val="en-US" w:eastAsia="zh-CN"/>
              </w:rPr>
              <w:t xml:space="preserve"> 适用 </w:t>
            </w:r>
            <w:r>
              <w:rPr>
                <w:rFonts w:hint="eastAsia" w:ascii="宋体" w:hAnsi="宋体" w:eastAsia="宋体" w:cs="宋体"/>
                <w:color w:val="auto"/>
                <w:sz w:val="21"/>
                <w:szCs w:val="21"/>
                <w:highlight w:val="none"/>
                <w:lang w:val="en-US" w:eastAsia="zh-CN"/>
              </w:rPr>
              <w:t>信用承诺（详见下述要求）。</w:t>
            </w:r>
          </w:p>
          <w:p w14:paraId="39060405">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在本项目政府采购活动中，供应商在投标（响应）时，可对照资格要求进行自主核对，确定符合资格要求的，可按照规定提供相关承诺函（详见投标文件“八、 资格审查资料”附件），供应商只需在资格审查环节提供满足相应条件的书面承诺书，不再需要提供以下证明材料：</w:t>
            </w:r>
          </w:p>
          <w:p w14:paraId="72758058">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①符合国家相关规定的财务状况报告（提供</w:t>
            </w:r>
            <w:r>
              <w:rPr>
                <w:rFonts w:hint="eastAsia" w:ascii="宋体" w:hAnsi="宋体" w:cs="宋体"/>
                <w:color w:val="auto"/>
                <w:sz w:val="21"/>
                <w:szCs w:val="21"/>
                <w:highlight w:val="none"/>
                <w:lang w:val="en-US" w:eastAsia="zh-CN"/>
              </w:rPr>
              <w:t>2024年度财务审计报告</w:t>
            </w:r>
            <w:r>
              <w:rPr>
                <w:rFonts w:hint="eastAsia" w:ascii="宋体" w:hAnsi="宋体" w:eastAsia="宋体" w:cs="宋体"/>
                <w:color w:val="auto"/>
                <w:sz w:val="21"/>
                <w:szCs w:val="21"/>
                <w:highlight w:val="none"/>
                <w:lang w:val="en-US" w:eastAsia="zh-CN"/>
              </w:rPr>
              <w:t>或提供其基本开户银行出具的资信证明）；</w:t>
            </w:r>
          </w:p>
          <w:p w14:paraId="6C9003DF">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②依法缴纳税收的证明材料（提供</w:t>
            </w:r>
            <w:r>
              <w:rPr>
                <w:rFonts w:hint="eastAsia" w:ascii="宋体" w:hAnsi="宋体" w:cs="宋体"/>
                <w:color w:val="auto"/>
                <w:sz w:val="21"/>
                <w:szCs w:val="21"/>
                <w:highlight w:val="none"/>
                <w:lang w:val="en-US" w:eastAsia="zh-CN"/>
              </w:rPr>
              <w:t>2025年1月1日以来任意6个月纳税证明</w:t>
            </w:r>
            <w:r>
              <w:rPr>
                <w:rFonts w:hint="eastAsia" w:ascii="宋体" w:hAnsi="宋体" w:eastAsia="宋体" w:cs="宋体"/>
                <w:color w:val="auto"/>
                <w:sz w:val="21"/>
                <w:szCs w:val="21"/>
                <w:highlight w:val="none"/>
                <w:lang w:val="en-US" w:eastAsia="zh-CN"/>
              </w:rPr>
              <w:t>,新成立公司以实际成立时间为准）；</w:t>
            </w:r>
          </w:p>
          <w:p w14:paraId="136BF485">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③依法缴纳社会保障资金的证明材料（提供</w:t>
            </w:r>
            <w:r>
              <w:rPr>
                <w:rFonts w:hint="eastAsia" w:ascii="宋体" w:hAnsi="宋体" w:cs="宋体"/>
                <w:color w:val="auto"/>
                <w:sz w:val="21"/>
                <w:szCs w:val="21"/>
                <w:highlight w:val="none"/>
                <w:lang w:val="en-US" w:eastAsia="zh-CN"/>
              </w:rPr>
              <w:t>2025年1月1日以来任意6个月</w:t>
            </w:r>
            <w:r>
              <w:rPr>
                <w:rFonts w:hint="eastAsia" w:ascii="宋体" w:hAnsi="宋体" w:eastAsia="宋体" w:cs="宋体"/>
                <w:color w:val="auto"/>
                <w:sz w:val="21"/>
                <w:szCs w:val="21"/>
                <w:highlight w:val="none"/>
                <w:lang w:val="en-US" w:eastAsia="zh-CN"/>
              </w:rPr>
              <w:t>缴纳社会保障证明,新成立公司以实际成立时间为准）；</w:t>
            </w:r>
          </w:p>
          <w:p w14:paraId="5247AB16">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④具备履行政府采购合同所必需的设备和专业技术能力的证明材料（默认履行合同的法定营业执照）；</w:t>
            </w:r>
          </w:p>
          <w:p w14:paraId="32AE602D">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⑤参加政府采购活动前三年内在经营活动中没有重大违法记录的证明材料；（供应商自行作出承诺）</w:t>
            </w:r>
          </w:p>
          <w:p w14:paraId="015288B2">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⑥未被列入失信被执行人、重大税收违法失信主体、政府采购严重违法失信行为记录名单的证明材料。(通过“信用中国”网站（www.creditchina.gov.cn） 查询“失信被执行人”(跳转至中国执行信息公开网)、“重大税收违法失信主体”，中国政府采购网（www.ccgp.gov.cn）查询“政府采购严重违法失信行为记录名单”渠道查询自身信用记录)。</w:t>
            </w:r>
          </w:p>
          <w:p w14:paraId="40F519BF">
            <w:pPr>
              <w:keepNext w:val="0"/>
              <w:keepLines w:val="0"/>
              <w:pageBreakBefore w:val="0"/>
              <w:kinsoku/>
              <w:overflowPunct/>
              <w:autoSpaceDE w:val="0"/>
              <w:autoSpaceDN w:val="0"/>
              <w:bidi w:val="0"/>
              <w:adjustRightInd w:val="0"/>
              <w:spacing w:line="40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供应商在中标（成交）后，应将上述由信用承诺书替代的证明材料提交采购人（采购代理机构）核验，经核验无误后，由采购人发出中标（成交）通知书。</w:t>
            </w:r>
          </w:p>
        </w:tc>
      </w:tr>
      <w:tr w14:paraId="1952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14:paraId="7C4E687A">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w:t>
            </w:r>
          </w:p>
        </w:tc>
        <w:tc>
          <w:tcPr>
            <w:tcW w:w="1913" w:type="dxa"/>
            <w:noWrap w:val="0"/>
            <w:vAlign w:val="center"/>
          </w:tcPr>
          <w:p w14:paraId="4D1D5FBE">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是否接受联合体</w:t>
            </w:r>
          </w:p>
          <w:p w14:paraId="5A097DA8">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spacing w:val="-12"/>
                <w:kern w:val="0"/>
                <w:sz w:val="21"/>
                <w:szCs w:val="21"/>
                <w:highlight w:val="none"/>
              </w:rPr>
            </w:pPr>
            <w:r>
              <w:rPr>
                <w:rFonts w:hint="eastAsia" w:ascii="宋体" w:hAnsi="宋体" w:eastAsia="宋体" w:cs="宋体"/>
                <w:color w:val="auto"/>
                <w:kern w:val="0"/>
                <w:sz w:val="21"/>
                <w:szCs w:val="21"/>
                <w:highlight w:val="none"/>
              </w:rPr>
              <w:t>投标</w:t>
            </w:r>
          </w:p>
        </w:tc>
        <w:tc>
          <w:tcPr>
            <w:tcW w:w="6909" w:type="dxa"/>
            <w:noWrap w:val="0"/>
            <w:vAlign w:val="center"/>
          </w:tcPr>
          <w:p w14:paraId="189F1B41">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不接受</w:t>
            </w:r>
          </w:p>
        </w:tc>
      </w:tr>
      <w:tr w14:paraId="670E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noWrap w:val="0"/>
            <w:vAlign w:val="center"/>
          </w:tcPr>
          <w:p w14:paraId="0DE76FE5">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913" w:type="dxa"/>
            <w:noWrap w:val="0"/>
            <w:vAlign w:val="center"/>
          </w:tcPr>
          <w:p w14:paraId="3F17154B">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付款方式</w:t>
            </w:r>
          </w:p>
        </w:tc>
        <w:tc>
          <w:tcPr>
            <w:tcW w:w="6909" w:type="dxa"/>
            <w:noWrap w:val="0"/>
            <w:vAlign w:val="center"/>
          </w:tcPr>
          <w:p w14:paraId="02FA263F">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双方</w:t>
            </w:r>
            <w:r>
              <w:rPr>
                <w:rFonts w:hint="eastAsia" w:ascii="宋体" w:hAnsi="宋体" w:eastAsia="宋体" w:cs="宋体"/>
                <w:color w:val="auto"/>
                <w:sz w:val="21"/>
                <w:szCs w:val="21"/>
                <w:highlight w:val="none"/>
                <w:lang w:val="en-US" w:eastAsia="zh-CN"/>
              </w:rPr>
              <w:t>在签订合同时</w:t>
            </w:r>
            <w:r>
              <w:rPr>
                <w:rFonts w:hint="eastAsia" w:ascii="宋体" w:hAnsi="宋体" w:eastAsia="宋体" w:cs="宋体"/>
                <w:color w:val="auto"/>
                <w:sz w:val="21"/>
                <w:szCs w:val="21"/>
                <w:highlight w:val="none"/>
              </w:rPr>
              <w:t>另行协商</w:t>
            </w:r>
            <w:r>
              <w:rPr>
                <w:rFonts w:hint="eastAsia" w:ascii="宋体" w:hAnsi="宋体" w:cs="宋体"/>
                <w:color w:val="auto"/>
                <w:sz w:val="21"/>
                <w:szCs w:val="21"/>
                <w:highlight w:val="none"/>
                <w:lang w:eastAsia="zh-CN"/>
              </w:rPr>
              <w:t>。</w:t>
            </w:r>
          </w:p>
        </w:tc>
      </w:tr>
      <w:tr w14:paraId="5E40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20" w:type="dxa"/>
            <w:noWrap w:val="0"/>
            <w:vAlign w:val="center"/>
          </w:tcPr>
          <w:p w14:paraId="1456DDA3">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w:t>
            </w:r>
          </w:p>
        </w:tc>
        <w:tc>
          <w:tcPr>
            <w:tcW w:w="1913" w:type="dxa"/>
            <w:noWrap w:val="0"/>
            <w:vAlign w:val="center"/>
          </w:tcPr>
          <w:p w14:paraId="55681C0D">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投标预备会</w:t>
            </w:r>
          </w:p>
        </w:tc>
        <w:tc>
          <w:tcPr>
            <w:tcW w:w="6909" w:type="dxa"/>
            <w:noWrap w:val="0"/>
            <w:vAlign w:val="center"/>
          </w:tcPr>
          <w:p w14:paraId="0AC7E714">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spacing w:val="-6"/>
                <w:kern w:val="0"/>
                <w:sz w:val="21"/>
                <w:szCs w:val="21"/>
                <w:highlight w:val="none"/>
              </w:rPr>
            </w:pPr>
            <w:r>
              <w:rPr>
                <w:rFonts w:hint="eastAsia" w:ascii="宋体" w:hAnsi="宋体" w:eastAsia="宋体" w:cs="宋体"/>
                <w:color w:val="auto"/>
                <w:spacing w:val="-6"/>
                <w:kern w:val="0"/>
                <w:sz w:val="21"/>
                <w:szCs w:val="21"/>
                <w:highlight w:val="none"/>
              </w:rPr>
              <w:t>采购人不再统一组织投标预备会。</w:t>
            </w:r>
          </w:p>
        </w:tc>
      </w:tr>
      <w:tr w14:paraId="3C23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20" w:type="dxa"/>
            <w:noWrap w:val="0"/>
            <w:vAlign w:val="center"/>
          </w:tcPr>
          <w:p w14:paraId="5D2C36CE">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w:t>
            </w:r>
          </w:p>
        </w:tc>
        <w:tc>
          <w:tcPr>
            <w:tcW w:w="1913" w:type="dxa"/>
            <w:noWrap w:val="0"/>
            <w:vAlign w:val="center"/>
          </w:tcPr>
          <w:p w14:paraId="2050609C">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w:t>
            </w:r>
          </w:p>
        </w:tc>
        <w:tc>
          <w:tcPr>
            <w:tcW w:w="6909" w:type="dxa"/>
            <w:noWrap w:val="0"/>
            <w:vAlign w:val="center"/>
          </w:tcPr>
          <w:p w14:paraId="0E3C4FFC">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p>
        </w:tc>
      </w:tr>
      <w:tr w14:paraId="7006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noWrap w:val="0"/>
            <w:vAlign w:val="center"/>
          </w:tcPr>
          <w:p w14:paraId="666D61AF">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w:t>
            </w:r>
          </w:p>
        </w:tc>
        <w:tc>
          <w:tcPr>
            <w:tcW w:w="1913" w:type="dxa"/>
            <w:noWrap w:val="0"/>
            <w:vAlign w:val="center"/>
          </w:tcPr>
          <w:p w14:paraId="7E6C56E5">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spacing w:val="-6"/>
                <w:kern w:val="0"/>
                <w:sz w:val="21"/>
                <w:szCs w:val="21"/>
                <w:highlight w:val="none"/>
              </w:rPr>
            </w:pPr>
            <w:r>
              <w:rPr>
                <w:rFonts w:hint="eastAsia" w:ascii="宋体" w:hAnsi="宋体" w:eastAsia="宋体" w:cs="宋体"/>
                <w:color w:val="auto"/>
                <w:spacing w:val="-6"/>
                <w:kern w:val="0"/>
                <w:sz w:val="21"/>
                <w:szCs w:val="21"/>
                <w:highlight w:val="none"/>
              </w:rPr>
              <w:t>投标人提出问题的截止时间</w:t>
            </w:r>
          </w:p>
        </w:tc>
        <w:tc>
          <w:tcPr>
            <w:tcW w:w="6909" w:type="dxa"/>
            <w:noWrap w:val="0"/>
            <w:vAlign w:val="center"/>
          </w:tcPr>
          <w:p w14:paraId="292D0CDA">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递交投标文件的截止之日10日前</w:t>
            </w:r>
          </w:p>
        </w:tc>
      </w:tr>
      <w:tr w14:paraId="33C1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noWrap w:val="0"/>
            <w:vAlign w:val="center"/>
          </w:tcPr>
          <w:p w14:paraId="30FCDB69">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w:t>
            </w:r>
          </w:p>
        </w:tc>
        <w:tc>
          <w:tcPr>
            <w:tcW w:w="1913" w:type="dxa"/>
            <w:noWrap w:val="0"/>
            <w:vAlign w:val="center"/>
          </w:tcPr>
          <w:p w14:paraId="572E3123">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采购人书面澄清的时间</w:t>
            </w:r>
          </w:p>
        </w:tc>
        <w:tc>
          <w:tcPr>
            <w:tcW w:w="6909" w:type="dxa"/>
            <w:noWrap w:val="0"/>
            <w:vAlign w:val="center"/>
          </w:tcPr>
          <w:p w14:paraId="794DA38F">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递交投标文件的截止之日15日前</w:t>
            </w:r>
          </w:p>
        </w:tc>
      </w:tr>
      <w:tr w14:paraId="5045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14:paraId="1A828219">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2.2.3</w:t>
            </w:r>
          </w:p>
        </w:tc>
        <w:tc>
          <w:tcPr>
            <w:tcW w:w="1913" w:type="dxa"/>
            <w:noWrap w:val="0"/>
            <w:vAlign w:val="center"/>
          </w:tcPr>
          <w:p w14:paraId="79A65C95">
            <w:pPr>
              <w:keepNext w:val="0"/>
              <w:keepLines w:val="0"/>
              <w:pageBreakBefore w:val="0"/>
              <w:kinsoku/>
              <w:overflowPunct/>
              <w:bidi w:val="0"/>
              <w:adjustRightInd w:val="0"/>
              <w:snapToGrid w:val="0"/>
              <w:spacing w:line="40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投标人要求澄清招标文件的截止时间</w:t>
            </w:r>
          </w:p>
        </w:tc>
        <w:tc>
          <w:tcPr>
            <w:tcW w:w="6909" w:type="dxa"/>
            <w:noWrap w:val="0"/>
            <w:vAlign w:val="center"/>
          </w:tcPr>
          <w:p w14:paraId="5F963BFD">
            <w:pPr>
              <w:keepNext w:val="0"/>
              <w:keepLines w:val="0"/>
              <w:pageBreakBefore w:val="0"/>
              <w:kinsoku/>
              <w:overflowPunct/>
              <w:bidi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投标截止时间15日前</w:t>
            </w:r>
          </w:p>
        </w:tc>
      </w:tr>
      <w:tr w14:paraId="62D6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20" w:type="dxa"/>
            <w:tcBorders>
              <w:bottom w:val="single" w:color="auto" w:sz="4" w:space="0"/>
            </w:tcBorders>
            <w:noWrap w:val="0"/>
            <w:vAlign w:val="center"/>
          </w:tcPr>
          <w:p w14:paraId="01580639">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1913" w:type="dxa"/>
            <w:tcBorders>
              <w:bottom w:val="single" w:color="auto" w:sz="4" w:space="0"/>
            </w:tcBorders>
            <w:noWrap w:val="0"/>
            <w:vAlign w:val="center"/>
          </w:tcPr>
          <w:p w14:paraId="4B2A8C13">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spacing w:val="-6"/>
                <w:kern w:val="0"/>
                <w:sz w:val="21"/>
                <w:szCs w:val="21"/>
                <w:highlight w:val="none"/>
              </w:rPr>
            </w:pPr>
            <w:r>
              <w:rPr>
                <w:rFonts w:hint="eastAsia" w:ascii="宋体" w:hAnsi="宋体" w:eastAsia="宋体" w:cs="宋体"/>
                <w:color w:val="auto"/>
                <w:spacing w:val="-6"/>
                <w:kern w:val="0"/>
                <w:sz w:val="21"/>
                <w:szCs w:val="21"/>
                <w:highlight w:val="none"/>
              </w:rPr>
              <w:t>构成投标文件的</w:t>
            </w:r>
          </w:p>
          <w:p w14:paraId="526F7ADD">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spacing w:val="-6"/>
                <w:kern w:val="0"/>
                <w:sz w:val="21"/>
                <w:szCs w:val="21"/>
                <w:highlight w:val="none"/>
              </w:rPr>
            </w:pPr>
            <w:r>
              <w:rPr>
                <w:rFonts w:hint="eastAsia" w:ascii="宋体" w:hAnsi="宋体" w:eastAsia="宋体" w:cs="宋体"/>
                <w:color w:val="auto"/>
                <w:spacing w:val="-6"/>
                <w:kern w:val="0"/>
                <w:sz w:val="21"/>
                <w:szCs w:val="21"/>
                <w:highlight w:val="none"/>
              </w:rPr>
              <w:t>其他材料</w:t>
            </w:r>
          </w:p>
        </w:tc>
        <w:tc>
          <w:tcPr>
            <w:tcW w:w="6909" w:type="dxa"/>
            <w:tcBorders>
              <w:bottom w:val="single" w:color="auto" w:sz="4" w:space="0"/>
            </w:tcBorders>
            <w:noWrap w:val="0"/>
            <w:vAlign w:val="center"/>
          </w:tcPr>
          <w:p w14:paraId="069C0879">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按招标文件要求</w:t>
            </w:r>
          </w:p>
        </w:tc>
      </w:tr>
      <w:tr w14:paraId="1EE6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20" w:type="dxa"/>
            <w:noWrap w:val="0"/>
            <w:vAlign w:val="center"/>
          </w:tcPr>
          <w:p w14:paraId="3041D45E">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4.1</w:t>
            </w:r>
          </w:p>
        </w:tc>
        <w:tc>
          <w:tcPr>
            <w:tcW w:w="1913" w:type="dxa"/>
            <w:noWrap w:val="0"/>
            <w:vAlign w:val="center"/>
          </w:tcPr>
          <w:p w14:paraId="26BBF1D9">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投标有效期</w:t>
            </w:r>
          </w:p>
        </w:tc>
        <w:tc>
          <w:tcPr>
            <w:tcW w:w="6909" w:type="dxa"/>
            <w:noWrap w:val="0"/>
            <w:vAlign w:val="center"/>
          </w:tcPr>
          <w:p w14:paraId="0893EE0F">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60日历天（从投标截止之日算起）</w:t>
            </w:r>
          </w:p>
        </w:tc>
      </w:tr>
      <w:tr w14:paraId="5D96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20" w:type="dxa"/>
            <w:noWrap w:val="0"/>
            <w:vAlign w:val="center"/>
          </w:tcPr>
          <w:p w14:paraId="28B00D22">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5</w:t>
            </w:r>
          </w:p>
        </w:tc>
        <w:tc>
          <w:tcPr>
            <w:tcW w:w="1913" w:type="dxa"/>
            <w:noWrap w:val="0"/>
            <w:vAlign w:val="center"/>
          </w:tcPr>
          <w:p w14:paraId="661E3F28">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投标保证金</w:t>
            </w:r>
          </w:p>
        </w:tc>
        <w:tc>
          <w:tcPr>
            <w:tcW w:w="6909" w:type="dxa"/>
            <w:noWrap w:val="0"/>
            <w:vAlign w:val="center"/>
          </w:tcPr>
          <w:p w14:paraId="583BDC4C">
            <w:pPr>
              <w:keepNext w:val="0"/>
              <w:keepLines w:val="0"/>
              <w:pageBreakBefore w:val="0"/>
              <w:kinsoku/>
              <w:overflowPunct/>
              <w:bidi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无</w:t>
            </w:r>
          </w:p>
        </w:tc>
      </w:tr>
      <w:tr w14:paraId="2E36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0" w:type="dxa"/>
            <w:noWrap w:val="0"/>
            <w:vAlign w:val="center"/>
          </w:tcPr>
          <w:p w14:paraId="207B423E">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.3</w:t>
            </w:r>
          </w:p>
        </w:tc>
        <w:tc>
          <w:tcPr>
            <w:tcW w:w="1913" w:type="dxa"/>
            <w:noWrap w:val="0"/>
            <w:vAlign w:val="center"/>
          </w:tcPr>
          <w:p w14:paraId="53261E47">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投标文件签字和盖章要求</w:t>
            </w:r>
          </w:p>
        </w:tc>
        <w:tc>
          <w:tcPr>
            <w:tcW w:w="6909" w:type="dxa"/>
            <w:noWrap w:val="0"/>
            <w:vAlign w:val="center"/>
          </w:tcPr>
          <w:p w14:paraId="24BEF6CC">
            <w:pPr>
              <w:keepNext w:val="0"/>
              <w:keepLines w:val="0"/>
              <w:pageBreakBefore w:val="0"/>
              <w:widowControl/>
              <w:kinsoku/>
              <w:wordWrap w:val="0"/>
              <w:overflowPunct/>
              <w:bidi w:val="0"/>
              <w:spacing w:line="400" w:lineRule="exact"/>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（1）所有要求投标人加盖公章的地方都须加盖投标人的 CA 印章。</w:t>
            </w:r>
          </w:p>
          <w:p w14:paraId="17B7F189">
            <w:pPr>
              <w:keepNext w:val="0"/>
              <w:keepLines w:val="0"/>
              <w:pageBreakBefore w:val="0"/>
              <w:widowControl/>
              <w:kinsoku/>
              <w:wordWrap w:val="0"/>
              <w:overflowPunct/>
              <w:bidi w:val="0"/>
              <w:spacing w:line="400" w:lineRule="exact"/>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（2）所有要求法定代表人或其委托代理人签字的地方都须加盖法定代表人或其委托代理人的CA印章</w:t>
            </w:r>
            <w:r>
              <w:rPr>
                <w:rFonts w:hint="eastAsia" w:ascii="宋体" w:hAnsi="宋体" w:eastAsia="宋体" w:cs="宋体"/>
                <w:color w:val="auto"/>
                <w:sz w:val="21"/>
                <w:szCs w:val="21"/>
                <w:highlight w:val="none"/>
                <w:lang w:val="en-US" w:eastAsia="zh-CN"/>
              </w:rPr>
              <w:t>或签字</w:t>
            </w:r>
            <w:r>
              <w:rPr>
                <w:rFonts w:hint="eastAsia" w:ascii="宋体" w:hAnsi="宋体" w:eastAsia="宋体" w:cs="宋体"/>
                <w:color w:val="auto"/>
                <w:sz w:val="21"/>
                <w:szCs w:val="21"/>
                <w:highlight w:val="none"/>
              </w:rPr>
              <w:t>。</w:t>
            </w:r>
          </w:p>
        </w:tc>
      </w:tr>
      <w:tr w14:paraId="3EF7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noWrap w:val="0"/>
            <w:vAlign w:val="center"/>
          </w:tcPr>
          <w:p w14:paraId="7CB2629F">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4.1.1</w:t>
            </w:r>
          </w:p>
        </w:tc>
        <w:tc>
          <w:tcPr>
            <w:tcW w:w="1913" w:type="dxa"/>
            <w:noWrap w:val="0"/>
            <w:vAlign w:val="center"/>
          </w:tcPr>
          <w:p w14:paraId="51DBFB24">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递交投标文件</w:t>
            </w:r>
          </w:p>
          <w:p w14:paraId="7B80FAD7">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截止时间</w:t>
            </w:r>
          </w:p>
        </w:tc>
        <w:tc>
          <w:tcPr>
            <w:tcW w:w="6909" w:type="dxa"/>
            <w:noWrap w:val="0"/>
            <w:vAlign w:val="center"/>
          </w:tcPr>
          <w:p w14:paraId="083A31D0">
            <w:pPr>
              <w:rPr>
                <w:rFonts w:hint="eastAsia" w:ascii="宋体" w:hAnsi="宋体" w:eastAsia="宋体" w:cs="宋体"/>
                <w:bCs/>
                <w:color w:val="auto"/>
                <w:kern w:val="0"/>
                <w:sz w:val="21"/>
                <w:szCs w:val="21"/>
                <w:highlight w:val="none"/>
                <w:lang w:eastAsia="zh-CN"/>
              </w:rPr>
            </w:pPr>
            <w:r>
              <w:rPr>
                <w:rFonts w:hint="eastAsia" w:ascii="宋体" w:hAnsi="宋体" w:eastAsia="宋体" w:cs="宋体"/>
                <w:color w:val="auto"/>
                <w:kern w:val="0"/>
                <w:sz w:val="21"/>
                <w:szCs w:val="21"/>
                <w:highlight w:val="none"/>
              </w:rPr>
              <w:t>截止时间：202</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日9时</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0分</w:t>
            </w:r>
          </w:p>
        </w:tc>
      </w:tr>
      <w:tr w14:paraId="2A01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0" w:type="dxa"/>
            <w:noWrap w:val="0"/>
            <w:vAlign w:val="center"/>
          </w:tcPr>
          <w:p w14:paraId="5225F487">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5.1</w:t>
            </w:r>
            <w:r>
              <w:rPr>
                <w:rFonts w:hint="eastAsia" w:ascii="宋体" w:hAnsi="宋体" w:eastAsia="宋体" w:cs="宋体"/>
                <w:color w:val="auto"/>
                <w:kern w:val="0"/>
                <w:sz w:val="21"/>
                <w:szCs w:val="21"/>
                <w:highlight w:val="none"/>
                <w:lang w:val="en-US" w:eastAsia="zh-CN"/>
              </w:rPr>
              <w:t>.1</w:t>
            </w:r>
          </w:p>
        </w:tc>
        <w:tc>
          <w:tcPr>
            <w:tcW w:w="1913" w:type="dxa"/>
            <w:noWrap w:val="0"/>
            <w:vAlign w:val="center"/>
          </w:tcPr>
          <w:p w14:paraId="6BD52E41">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开标时间</w:t>
            </w:r>
          </w:p>
        </w:tc>
        <w:tc>
          <w:tcPr>
            <w:tcW w:w="6909" w:type="dxa"/>
            <w:noWrap w:val="0"/>
            <w:vAlign w:val="center"/>
          </w:tcPr>
          <w:p w14:paraId="342B3401">
            <w:pPr>
              <w:keepNext w:val="0"/>
              <w:keepLines w:val="0"/>
              <w:pageBreakBefore w:val="0"/>
              <w:kinsoku/>
              <w:overflowPunct/>
              <w:bidi w:val="0"/>
              <w:spacing w:line="400" w:lineRule="exact"/>
              <w:rPr>
                <w:rFonts w:hint="eastAsia" w:ascii="宋体" w:hAnsi="宋体" w:eastAsia="宋体" w:cs="宋体"/>
                <w:color w:val="auto"/>
                <w:spacing w:val="-4"/>
                <w:kern w:val="0"/>
                <w:sz w:val="21"/>
                <w:szCs w:val="21"/>
                <w:highlight w:val="none"/>
              </w:rPr>
            </w:pPr>
            <w:r>
              <w:rPr>
                <w:rFonts w:hint="eastAsia" w:ascii="宋体" w:hAnsi="宋体" w:eastAsia="宋体" w:cs="宋体"/>
                <w:color w:val="auto"/>
                <w:sz w:val="21"/>
                <w:szCs w:val="21"/>
                <w:highlight w:val="none"/>
              </w:rPr>
              <w:t>开标时间：</w:t>
            </w: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日9时</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0分</w:t>
            </w:r>
          </w:p>
        </w:tc>
      </w:tr>
      <w:tr w14:paraId="7284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20" w:type="dxa"/>
            <w:noWrap w:val="0"/>
            <w:vAlign w:val="center"/>
          </w:tcPr>
          <w:p w14:paraId="27C08E83">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5.2 </w:t>
            </w:r>
          </w:p>
        </w:tc>
        <w:tc>
          <w:tcPr>
            <w:tcW w:w="1913" w:type="dxa"/>
            <w:noWrap w:val="0"/>
            <w:vAlign w:val="center"/>
          </w:tcPr>
          <w:p w14:paraId="56AEF3B4">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开标程序</w:t>
            </w:r>
          </w:p>
        </w:tc>
        <w:tc>
          <w:tcPr>
            <w:tcW w:w="6909" w:type="dxa"/>
            <w:noWrap w:val="0"/>
            <w:vAlign w:val="center"/>
          </w:tcPr>
          <w:p w14:paraId="2F222CA0">
            <w:pPr>
              <w:keepNext w:val="0"/>
              <w:keepLines w:val="0"/>
              <w:pageBreakBefore w:val="0"/>
              <w:kinsoku/>
              <w:overflowPunct/>
              <w:bidi w:val="0"/>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各供应商应在投标截止时间前上传加密的电子投标文件（*.XYTF）到会员系统的指定位置。上传的电子投标文件应使用投标人CA数字证书认证并加密。上传时必须得到交易系统“上传成功”的确认回复后方为上传成功。请供应商在上传前务必认真检查上传</w:t>
            </w:r>
            <w:r>
              <w:rPr>
                <w:rFonts w:hint="eastAsia" w:ascii="宋体" w:hAnsi="宋体" w:eastAsia="宋体" w:cs="宋体"/>
                <w:bCs/>
                <w:color w:val="auto"/>
                <w:sz w:val="21"/>
                <w:szCs w:val="21"/>
                <w:highlight w:val="none"/>
                <w:lang w:eastAsia="zh-CN"/>
              </w:rPr>
              <w:t>投标文件</w:t>
            </w:r>
            <w:r>
              <w:rPr>
                <w:rFonts w:hint="eastAsia" w:ascii="宋体" w:hAnsi="宋体" w:eastAsia="宋体" w:cs="宋体"/>
                <w:bCs/>
                <w:color w:val="auto"/>
                <w:sz w:val="21"/>
                <w:szCs w:val="21"/>
                <w:highlight w:val="none"/>
              </w:rPr>
              <w:t>是否完整、正确。</w:t>
            </w:r>
          </w:p>
          <w:p w14:paraId="2F10B99E">
            <w:pPr>
              <w:keepNext w:val="0"/>
              <w:keepLines w:val="0"/>
              <w:pageBreakBefore w:val="0"/>
              <w:kinsoku/>
              <w:overflowPunct/>
              <w:bidi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加密电子投标文件逾期上传，采购人不予受理</w:t>
            </w:r>
          </w:p>
          <w:p w14:paraId="38AFE1EC">
            <w:pPr>
              <w:keepNext w:val="0"/>
              <w:keepLines w:val="0"/>
              <w:pageBreakBefore w:val="0"/>
              <w:kinsoku/>
              <w:overflowPunct/>
              <w:bidi w:val="0"/>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2.本项目采用“不见面开标”交易方式，不见面开标大厅网址为 </w:t>
            </w:r>
            <w:r>
              <w:rPr>
                <w:rFonts w:hint="eastAsia" w:ascii="宋体" w:hAnsi="宋体" w:eastAsia="宋体" w:cs="宋体"/>
                <w:color w:val="auto"/>
                <w:sz w:val="21"/>
                <w:szCs w:val="21"/>
                <w:highlight w:val="none"/>
                <w:shd w:val="clear" w:color="auto" w:fill="FFFFFF"/>
                <w:lang w:eastAsia="zh-CN"/>
              </w:rPr>
              <w:t>https://ggzyjy.xinyang.gov.cn/BidOpening</w:t>
            </w:r>
            <w:r>
              <w:rPr>
                <w:rFonts w:hint="eastAsia" w:ascii="宋体" w:hAnsi="宋体" w:eastAsia="宋体" w:cs="宋体"/>
                <w:bCs/>
                <w:color w:val="auto"/>
                <w:sz w:val="21"/>
                <w:szCs w:val="21"/>
                <w:highlight w:val="none"/>
              </w:rPr>
              <w:t>，投标人无需寄送和递交非加密的电子投标文件，无需到现场参加开标会议，无需到达现场提交原件资料。</w:t>
            </w:r>
          </w:p>
          <w:p w14:paraId="4CA63A32">
            <w:pPr>
              <w:keepNext w:val="0"/>
              <w:keepLines w:val="0"/>
              <w:pageBreakBefore w:val="0"/>
              <w:kinsoku/>
              <w:overflowPunct/>
              <w:bidi w:val="0"/>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投标人应当在投标截止时间前，使用投标人CA数字证书登录不见面开标大厅，在线签到并准时参加开标活动，并在规定时间内完成投标文件解密、答疑澄清等。</w:t>
            </w:r>
          </w:p>
          <w:p w14:paraId="5931D1DD">
            <w:pPr>
              <w:keepNext w:val="0"/>
              <w:keepLines w:val="0"/>
              <w:pageBreakBefore w:val="0"/>
              <w:kinsoku/>
              <w:overflowPunct/>
              <w:bidi w:val="0"/>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逾期解密或者没有准时在线参加开标活动导致一切后果投标人自行承担。</w:t>
            </w:r>
          </w:p>
          <w:p w14:paraId="29397940">
            <w:pPr>
              <w:keepNext w:val="0"/>
              <w:keepLines w:val="0"/>
              <w:pageBreakBefore w:val="0"/>
              <w:kinsoku/>
              <w:overflowPunct/>
              <w:bidi w:val="0"/>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不见面开标服务的具体事宜，请查阅信阳市公共资源交易中心网站首页—下载中心—信阳市不见面开标大厅系统操作手册。</w:t>
            </w:r>
          </w:p>
          <w:p w14:paraId="7517EB94">
            <w:pPr>
              <w:keepNext w:val="0"/>
              <w:keepLines w:val="0"/>
              <w:pageBreakBefore w:val="0"/>
              <w:kinsoku/>
              <w:overflowPunct/>
              <w:bidi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特别提示：投标人在线签到时，应如实准确的填写授权委托人的联系电话，开标当天请务必保证电话保持畅通。</w:t>
            </w:r>
          </w:p>
        </w:tc>
      </w:tr>
      <w:tr w14:paraId="50DA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14:paraId="02A3F80A">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 xml:space="preserve"> </w:t>
            </w:r>
          </w:p>
        </w:tc>
        <w:tc>
          <w:tcPr>
            <w:tcW w:w="1913" w:type="dxa"/>
            <w:noWrap w:val="0"/>
            <w:vAlign w:val="center"/>
          </w:tcPr>
          <w:p w14:paraId="3C98DAB9">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评标委员会的</w:t>
            </w:r>
          </w:p>
          <w:p w14:paraId="0C5AB161">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组建</w:t>
            </w:r>
          </w:p>
        </w:tc>
        <w:tc>
          <w:tcPr>
            <w:tcW w:w="6909" w:type="dxa"/>
            <w:noWrap w:val="0"/>
            <w:vAlign w:val="center"/>
          </w:tcPr>
          <w:p w14:paraId="238C31E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评标委员会构成：共</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人组成，其中业主评委</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人，专家</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人。</w:t>
            </w:r>
          </w:p>
          <w:p w14:paraId="7F773B6B">
            <w:pPr>
              <w:pStyle w:val="21"/>
              <w:keepNext w:val="0"/>
              <w:keepLines w:val="0"/>
              <w:pageBreakBefore w:val="0"/>
              <w:widowControl w:val="0"/>
              <w:kinsoku/>
              <w:wordWrap/>
              <w:overflowPunct/>
              <w:topLinePunct w:val="0"/>
              <w:bidi w:val="0"/>
              <w:snapToGrid/>
              <w:spacing w:after="0" w:afterLines="0" w:line="4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专家确定方式：</w:t>
            </w:r>
            <w:r>
              <w:rPr>
                <w:rFonts w:hint="eastAsia" w:ascii="宋体" w:hAnsi="宋体" w:eastAsia="宋体" w:cs="宋体"/>
                <w:color w:val="auto"/>
                <w:sz w:val="21"/>
                <w:szCs w:val="21"/>
                <w:highlight w:val="none"/>
                <w:lang w:val="en-US" w:eastAsia="zh-CN"/>
              </w:rPr>
              <w:t>评标</w:t>
            </w:r>
            <w:r>
              <w:rPr>
                <w:rFonts w:hint="eastAsia" w:ascii="宋体" w:hAnsi="宋体" w:eastAsia="宋体" w:cs="宋体"/>
                <w:color w:val="auto"/>
                <w:sz w:val="21"/>
                <w:szCs w:val="21"/>
                <w:highlight w:val="none"/>
              </w:rPr>
              <w:t>前从政府采购专家库中随机抽取。</w:t>
            </w:r>
          </w:p>
        </w:tc>
      </w:tr>
      <w:tr w14:paraId="0431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14:paraId="543390BA">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w:t>
            </w:r>
          </w:p>
        </w:tc>
        <w:tc>
          <w:tcPr>
            <w:tcW w:w="1913" w:type="dxa"/>
            <w:noWrap w:val="0"/>
            <w:vAlign w:val="center"/>
          </w:tcPr>
          <w:p w14:paraId="624C4083">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是否授权评标委员会确定中标人</w:t>
            </w:r>
          </w:p>
        </w:tc>
        <w:tc>
          <w:tcPr>
            <w:tcW w:w="6909" w:type="dxa"/>
            <w:noWrap w:val="0"/>
            <w:vAlign w:val="center"/>
          </w:tcPr>
          <w:p w14:paraId="0048796B">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否，推荐3名中标候选人。</w:t>
            </w:r>
          </w:p>
        </w:tc>
      </w:tr>
      <w:tr w14:paraId="3DA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0" w:type="dxa"/>
            <w:noWrap w:val="0"/>
            <w:vAlign w:val="center"/>
          </w:tcPr>
          <w:p w14:paraId="199B4F1E">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7.3.1</w:t>
            </w:r>
          </w:p>
        </w:tc>
        <w:tc>
          <w:tcPr>
            <w:tcW w:w="1913" w:type="dxa"/>
            <w:noWrap w:val="0"/>
            <w:vAlign w:val="center"/>
          </w:tcPr>
          <w:p w14:paraId="5CFB6BAF">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履约保证金</w:t>
            </w:r>
          </w:p>
        </w:tc>
        <w:tc>
          <w:tcPr>
            <w:tcW w:w="6909" w:type="dxa"/>
            <w:noWrap w:val="0"/>
            <w:vAlign w:val="center"/>
          </w:tcPr>
          <w:p w14:paraId="56423C7E">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不收取</w:t>
            </w:r>
          </w:p>
        </w:tc>
      </w:tr>
      <w:tr w14:paraId="26A6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20" w:type="dxa"/>
            <w:noWrap w:val="0"/>
            <w:vAlign w:val="center"/>
          </w:tcPr>
          <w:p w14:paraId="2921D928">
            <w:pPr>
              <w:keepNext w:val="0"/>
              <w:keepLines w:val="0"/>
              <w:pageBreakBefore w:val="0"/>
              <w:kinsoku/>
              <w:overflowPunct/>
              <w:autoSpaceDE w:val="0"/>
              <w:autoSpaceDN w:val="0"/>
              <w:bidi w:val="0"/>
              <w:adjustRightInd w:val="0"/>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7.3.2</w:t>
            </w:r>
          </w:p>
        </w:tc>
        <w:tc>
          <w:tcPr>
            <w:tcW w:w="1913" w:type="dxa"/>
            <w:noWrap w:val="0"/>
            <w:vAlign w:val="center"/>
          </w:tcPr>
          <w:p w14:paraId="4DF57EE4">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分包/转包</w:t>
            </w:r>
          </w:p>
        </w:tc>
        <w:tc>
          <w:tcPr>
            <w:tcW w:w="6909" w:type="dxa"/>
            <w:noWrap w:val="0"/>
            <w:vAlign w:val="center"/>
          </w:tcPr>
          <w:p w14:paraId="6ADADD63">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不允许转包和分包</w:t>
            </w:r>
          </w:p>
        </w:tc>
      </w:tr>
      <w:tr w14:paraId="6513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20" w:type="dxa"/>
            <w:noWrap w:val="0"/>
            <w:vAlign w:val="center"/>
          </w:tcPr>
          <w:p w14:paraId="34869E08">
            <w:pPr>
              <w:keepNext w:val="0"/>
              <w:keepLines w:val="0"/>
              <w:pageBreakBefore w:val="0"/>
              <w:kinsoku/>
              <w:overflowPunct/>
              <w:autoSpaceDE w:val="0"/>
              <w:autoSpaceDN w:val="0"/>
              <w:bidi w:val="0"/>
              <w:adjustRightInd w:val="0"/>
              <w:spacing w:line="400" w:lineRule="exact"/>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7.3.3</w:t>
            </w:r>
          </w:p>
        </w:tc>
        <w:tc>
          <w:tcPr>
            <w:tcW w:w="1913" w:type="dxa"/>
            <w:noWrap w:val="0"/>
            <w:vAlign w:val="center"/>
          </w:tcPr>
          <w:p w14:paraId="2E725E41">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代理服务费</w:t>
            </w:r>
          </w:p>
        </w:tc>
        <w:tc>
          <w:tcPr>
            <w:tcW w:w="6909" w:type="dxa"/>
            <w:noWrap w:val="0"/>
            <w:vAlign w:val="center"/>
          </w:tcPr>
          <w:p w14:paraId="1D0BE4C4">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rPr>
              <w:t>代理费收费约定：</w:t>
            </w:r>
          </w:p>
          <w:p w14:paraId="39E3ECF1">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zh-CN"/>
              </w:rPr>
              <w:t>本项目代理费由中标企业支付，</w:t>
            </w:r>
            <w:r>
              <w:rPr>
                <w:rFonts w:hint="eastAsia" w:ascii="宋体" w:hAnsi="宋体" w:eastAsia="宋体" w:cs="宋体"/>
                <w:color w:val="auto"/>
                <w:kern w:val="0"/>
                <w:sz w:val="21"/>
                <w:szCs w:val="21"/>
                <w:highlight w:val="none"/>
              </w:rPr>
              <w:t>供应商报价应当包含该项目代理服务费</w:t>
            </w:r>
            <w:r>
              <w:rPr>
                <w:rFonts w:hint="eastAsia" w:ascii="宋体" w:hAnsi="宋体" w:eastAsia="宋体" w:cs="宋体"/>
                <w:color w:val="auto"/>
                <w:kern w:val="0"/>
                <w:sz w:val="21"/>
                <w:szCs w:val="21"/>
                <w:highlight w:val="none"/>
                <w:lang w:eastAsia="zh-CN"/>
              </w:rPr>
              <w:t>。</w:t>
            </w:r>
          </w:p>
          <w:p w14:paraId="41558505">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本项目代理服务费</w:t>
            </w:r>
            <w:r>
              <w:rPr>
                <w:rFonts w:hint="eastAsia" w:ascii="宋体" w:hAnsi="宋体" w:eastAsia="宋体" w:cs="宋体"/>
                <w:color w:val="auto"/>
                <w:kern w:val="0"/>
                <w:sz w:val="21"/>
                <w:szCs w:val="21"/>
                <w:highlight w:val="none"/>
                <w:lang w:val="zh-CN"/>
              </w:rPr>
              <w:t>按“</w:t>
            </w:r>
            <w:r>
              <w:rPr>
                <w:rFonts w:hint="eastAsia" w:ascii="宋体" w:hAnsi="宋体" w:eastAsia="宋体" w:cs="宋体"/>
                <w:color w:val="auto"/>
                <w:kern w:val="0"/>
                <w:sz w:val="21"/>
                <w:szCs w:val="21"/>
                <w:highlight w:val="none"/>
                <w:lang w:val="en-US" w:eastAsia="zh-CN"/>
              </w:rPr>
              <w:t>豫招协〔2023〕002号</w:t>
            </w:r>
            <w:r>
              <w:rPr>
                <w:rFonts w:hint="eastAsia" w:ascii="宋体" w:hAnsi="宋体" w:eastAsia="宋体" w:cs="宋体"/>
                <w:color w:val="auto"/>
                <w:kern w:val="0"/>
                <w:sz w:val="21"/>
                <w:szCs w:val="21"/>
                <w:highlight w:val="none"/>
                <w:lang w:val="zh-CN"/>
              </w:rPr>
              <w:t>”规定的收费标准收取，中标人领取中标通知时向采购代理机构一次性付清。本项目中标服务费的收取按差额定率累进法计算，</w:t>
            </w:r>
            <w:r>
              <w:rPr>
                <w:rFonts w:hint="eastAsia" w:ascii="宋体" w:hAnsi="宋体" w:eastAsia="宋体" w:cs="宋体"/>
                <w:color w:val="auto"/>
                <w:kern w:val="0"/>
                <w:sz w:val="21"/>
                <w:szCs w:val="21"/>
                <w:highlight w:val="none"/>
                <w:lang w:eastAsia="zh-CN"/>
              </w:rPr>
              <w:t>单标段上限不得超过</w:t>
            </w:r>
            <w:r>
              <w:rPr>
                <w:rFonts w:hint="eastAsia" w:ascii="宋体" w:hAnsi="宋体" w:eastAsia="宋体" w:cs="宋体"/>
                <w:color w:val="auto"/>
                <w:kern w:val="0"/>
                <w:sz w:val="21"/>
                <w:szCs w:val="21"/>
                <w:highlight w:val="none"/>
                <w:lang w:val="en-US" w:eastAsia="zh-CN"/>
              </w:rPr>
              <w:t>10万元</w:t>
            </w:r>
            <w:r>
              <w:rPr>
                <w:rFonts w:hint="eastAsia" w:ascii="宋体" w:hAnsi="宋体" w:eastAsia="宋体" w:cs="宋体"/>
                <w:color w:val="auto"/>
                <w:kern w:val="0"/>
                <w:sz w:val="21"/>
                <w:szCs w:val="21"/>
                <w:highlight w:val="none"/>
                <w:lang w:val="zh-CN"/>
              </w:rPr>
              <w:t>。</w:t>
            </w:r>
          </w:p>
          <w:p w14:paraId="690BDE18">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rPr>
              <w:t>收费标准：</w:t>
            </w:r>
          </w:p>
          <w:p w14:paraId="5B65D8E1">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预算金额的100万（含）以下部分费率为</w:t>
            </w:r>
            <w:r>
              <w:rPr>
                <w:rFonts w:hint="eastAsia" w:ascii="宋体" w:hAnsi="宋体" w:cs="宋体"/>
                <w:color w:val="auto"/>
                <w:kern w:val="0"/>
                <w:sz w:val="21"/>
                <w:szCs w:val="21"/>
                <w:highlight w:val="none"/>
                <w:lang w:val="en-US" w:eastAsia="zh-CN"/>
              </w:rPr>
              <w:t>1.7%</w:t>
            </w:r>
            <w:r>
              <w:rPr>
                <w:rFonts w:hint="eastAsia" w:ascii="宋体" w:hAnsi="宋体" w:eastAsia="宋体" w:cs="宋体"/>
                <w:color w:val="auto"/>
                <w:kern w:val="0"/>
                <w:sz w:val="21"/>
                <w:szCs w:val="21"/>
                <w:highlight w:val="none"/>
                <w:lang w:val="zh-CN"/>
              </w:rPr>
              <w:t>；</w:t>
            </w:r>
          </w:p>
          <w:p w14:paraId="00E7B6ED">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预算金额的100万以上－500万（含）部分费率为</w:t>
            </w:r>
            <w:r>
              <w:rPr>
                <w:rFonts w:hint="eastAsia" w:ascii="宋体" w:hAnsi="宋体" w:cs="宋体"/>
                <w:color w:val="auto"/>
                <w:kern w:val="0"/>
                <w:sz w:val="21"/>
                <w:szCs w:val="21"/>
                <w:highlight w:val="none"/>
                <w:lang w:val="en-US" w:eastAsia="zh-CN"/>
              </w:rPr>
              <w:t>1.2%；</w:t>
            </w:r>
          </w:p>
          <w:p w14:paraId="065266CD">
            <w:pPr>
              <w:keepNext w:val="0"/>
              <w:keepLines w:val="0"/>
              <w:pageBreakBefore w:val="0"/>
              <w:kinsoku/>
              <w:overflowPunct/>
              <w:autoSpaceDE w:val="0"/>
              <w:autoSpaceDN w:val="0"/>
              <w:bidi w:val="0"/>
              <w:adjustRightIn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预算金额的</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00万以上－</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zh-CN"/>
              </w:rPr>
              <w:t>00万（含）部分费率为</w:t>
            </w:r>
            <w:r>
              <w:rPr>
                <w:rFonts w:hint="eastAsia" w:ascii="宋体" w:hAnsi="宋体" w:cs="宋体"/>
                <w:color w:val="auto"/>
                <w:kern w:val="0"/>
                <w:sz w:val="21"/>
                <w:szCs w:val="21"/>
                <w:highlight w:val="none"/>
                <w:lang w:val="en-US" w:eastAsia="zh-CN"/>
              </w:rPr>
              <w:t>0.7%；</w:t>
            </w:r>
          </w:p>
          <w:p w14:paraId="50CCDEED">
            <w:pPr>
              <w:keepNext w:val="0"/>
              <w:keepLines w:val="0"/>
              <w:pageBreakBefore w:val="0"/>
              <w:kinsoku/>
              <w:overflowPunct/>
              <w:autoSpaceDE w:val="0"/>
              <w:autoSpaceDN w:val="0"/>
              <w:bidi w:val="0"/>
              <w:adjustRightInd w:val="0"/>
              <w:spacing w:line="400" w:lineRule="exac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预算金额的</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zh-CN"/>
              </w:rPr>
              <w:t>00万以上－</w:t>
            </w:r>
            <w:r>
              <w:rPr>
                <w:rFonts w:hint="eastAsia" w:ascii="宋体" w:hAnsi="宋体" w:eastAsia="宋体" w:cs="宋体"/>
                <w:color w:val="auto"/>
                <w:kern w:val="0"/>
                <w:sz w:val="21"/>
                <w:szCs w:val="21"/>
                <w:highlight w:val="none"/>
                <w:lang w:val="en-US" w:eastAsia="zh-CN"/>
              </w:rPr>
              <w:t>50</w:t>
            </w:r>
            <w:r>
              <w:rPr>
                <w:rFonts w:hint="eastAsia" w:ascii="宋体" w:hAnsi="宋体" w:eastAsia="宋体" w:cs="宋体"/>
                <w:color w:val="auto"/>
                <w:kern w:val="0"/>
                <w:sz w:val="21"/>
                <w:szCs w:val="21"/>
                <w:highlight w:val="none"/>
                <w:lang w:val="zh-CN"/>
              </w:rPr>
              <w:t>00万（含）部分费率为</w:t>
            </w:r>
            <w:r>
              <w:rPr>
                <w:rFonts w:hint="eastAsia" w:ascii="宋体" w:hAnsi="宋体" w:cs="宋体"/>
                <w:color w:val="auto"/>
                <w:kern w:val="0"/>
                <w:sz w:val="21"/>
                <w:szCs w:val="21"/>
                <w:highlight w:val="none"/>
                <w:lang w:val="en-US" w:eastAsia="zh-CN"/>
              </w:rPr>
              <w:t>0.4%</w:t>
            </w:r>
            <w:r>
              <w:rPr>
                <w:rFonts w:hint="eastAsia" w:ascii="宋体" w:hAnsi="宋体" w:eastAsia="宋体" w:cs="宋体"/>
                <w:color w:val="auto"/>
                <w:kern w:val="0"/>
                <w:sz w:val="21"/>
                <w:szCs w:val="21"/>
                <w:highlight w:val="none"/>
                <w:lang w:val="zh-CN"/>
              </w:rPr>
              <w:t>。</w:t>
            </w:r>
          </w:p>
        </w:tc>
      </w:tr>
      <w:tr w14:paraId="0FF8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20" w:type="dxa"/>
            <w:noWrap w:val="0"/>
            <w:vAlign w:val="center"/>
          </w:tcPr>
          <w:p w14:paraId="63E7149D">
            <w:pPr>
              <w:keepNext w:val="0"/>
              <w:keepLines w:val="0"/>
              <w:pageBreakBefore w:val="0"/>
              <w:kinsoku/>
              <w:overflowPunct/>
              <w:autoSpaceDE w:val="0"/>
              <w:autoSpaceDN w:val="0"/>
              <w:bidi w:val="0"/>
              <w:adjustRightInd w:val="0"/>
              <w:spacing w:line="400" w:lineRule="exact"/>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7.3.5</w:t>
            </w:r>
          </w:p>
        </w:tc>
        <w:tc>
          <w:tcPr>
            <w:tcW w:w="1913" w:type="dxa"/>
            <w:noWrap w:val="0"/>
            <w:vAlign w:val="center"/>
          </w:tcPr>
          <w:p w14:paraId="4BCE8AC9">
            <w:pPr>
              <w:keepNext w:val="0"/>
              <w:keepLines w:val="0"/>
              <w:pageBreakBefore w:val="0"/>
              <w:kinsoku/>
              <w:overflowPunct/>
              <w:autoSpaceDE w:val="0"/>
              <w:autoSpaceDN w:val="0"/>
              <w:bidi w:val="0"/>
              <w:adjustRightIn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其他说明</w:t>
            </w:r>
          </w:p>
        </w:tc>
        <w:tc>
          <w:tcPr>
            <w:tcW w:w="6909" w:type="dxa"/>
            <w:noWrap w:val="0"/>
            <w:vAlign w:val="center"/>
          </w:tcPr>
          <w:p w14:paraId="0B8CC7DF">
            <w:pPr>
              <w:keepNext w:val="0"/>
              <w:keepLines w:val="0"/>
              <w:pageBreakBefore w:val="0"/>
              <w:kinsoku/>
              <w:overflowPunct/>
              <w:bidi w:val="0"/>
              <w:spacing w:line="400" w:lineRule="exact"/>
              <w:rPr>
                <w:rFonts w:hint="default"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1.所属行业：其他未列明行业。</w:t>
            </w:r>
          </w:p>
        </w:tc>
      </w:tr>
    </w:tbl>
    <w:p w14:paraId="488561EF">
      <w:pPr>
        <w:keepNext/>
        <w:keepLines/>
        <w:spacing w:line="360" w:lineRule="auto"/>
        <w:outlineLvl w:val="1"/>
        <w:rPr>
          <w:rFonts w:hint="eastAsia" w:ascii="宋体" w:hAnsi="宋体" w:eastAsia="宋体" w:cs="宋体"/>
          <w:b/>
          <w:color w:val="auto"/>
          <w:szCs w:val="21"/>
          <w:highlight w:val="none"/>
        </w:rPr>
      </w:pPr>
      <w:bookmarkStart w:id="10" w:name="_Toc414956951"/>
      <w:bookmarkStart w:id="11" w:name="_Toc7829"/>
      <w:bookmarkStart w:id="12" w:name="_Toc3461"/>
      <w:r>
        <w:rPr>
          <w:rFonts w:hint="eastAsia" w:ascii="宋体" w:hAnsi="宋体" w:eastAsia="宋体" w:cs="宋体"/>
          <w:b/>
          <w:color w:val="auto"/>
          <w:szCs w:val="21"/>
          <w:highlight w:val="none"/>
        </w:rPr>
        <w:t>1.总则</w:t>
      </w:r>
      <w:bookmarkEnd w:id="8"/>
      <w:bookmarkEnd w:id="9"/>
      <w:bookmarkEnd w:id="10"/>
      <w:bookmarkEnd w:id="11"/>
      <w:bookmarkEnd w:id="12"/>
    </w:p>
    <w:p w14:paraId="38953C5D">
      <w:pPr>
        <w:widowControl/>
        <w:tabs>
          <w:tab w:val="left" w:pos="170"/>
        </w:tabs>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1.1项目概况</w:t>
      </w:r>
      <w:r>
        <w:rPr>
          <w:rFonts w:hint="eastAsia" w:ascii="宋体" w:hAnsi="宋体" w:eastAsia="宋体" w:cs="宋体"/>
          <w:b/>
          <w:color w:val="auto"/>
          <w:szCs w:val="21"/>
          <w:highlight w:val="none"/>
        </w:rPr>
        <w:tab/>
      </w:r>
    </w:p>
    <w:p w14:paraId="0EEAC803">
      <w:pPr>
        <w:widowControl/>
        <w:tabs>
          <w:tab w:val="left" w:pos="181"/>
          <w:tab w:val="left" w:pos="35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根据《中华人民共和国政府采购法》、《中华人民共和国政府采购法实施条例》等有关法律、法规和规章的规定，本招标项目已具备招标条件，现对本项目进行公开招标。</w:t>
      </w:r>
    </w:p>
    <w:p w14:paraId="00714BFC">
      <w:pPr>
        <w:widowControl/>
        <w:tabs>
          <w:tab w:val="left" w:pos="181"/>
          <w:tab w:val="left" w:pos="35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采购人：见投标人须知前附表。</w:t>
      </w:r>
    </w:p>
    <w:p w14:paraId="5F08C270">
      <w:pPr>
        <w:widowControl/>
        <w:tabs>
          <w:tab w:val="left" w:pos="181"/>
          <w:tab w:val="left" w:pos="35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采购代理机构：见投标人须知前附表。</w:t>
      </w:r>
    </w:p>
    <w:p w14:paraId="6B6222F5">
      <w:pPr>
        <w:widowControl/>
        <w:tabs>
          <w:tab w:val="left" w:pos="181"/>
          <w:tab w:val="left" w:pos="35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项目名称：见投标人须知前附表。</w:t>
      </w:r>
    </w:p>
    <w:p w14:paraId="04D1BB83">
      <w:pPr>
        <w:widowControl/>
        <w:tabs>
          <w:tab w:val="left" w:pos="181"/>
          <w:tab w:val="left" w:pos="35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 最高限价：见投标人须知前附表。</w:t>
      </w:r>
    </w:p>
    <w:p w14:paraId="0F48B2FA">
      <w:pPr>
        <w:widowControl/>
        <w:tabs>
          <w:tab w:val="left" w:pos="181"/>
          <w:tab w:val="left" w:pos="35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采购方式：见投标人须知前附表。</w:t>
      </w:r>
    </w:p>
    <w:p w14:paraId="336009CB">
      <w:pPr>
        <w:widowControl/>
        <w:tabs>
          <w:tab w:val="left" w:pos="170"/>
        </w:tabs>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1.2资金来源和落实情况</w:t>
      </w:r>
    </w:p>
    <w:p w14:paraId="652D6657">
      <w:pPr>
        <w:widowControl/>
        <w:tabs>
          <w:tab w:val="left" w:pos="170"/>
        </w:tabs>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1.2.1资金来源：见投标人须知前附表。</w:t>
      </w:r>
    </w:p>
    <w:p w14:paraId="6E9251A6">
      <w:pPr>
        <w:widowControl/>
        <w:tabs>
          <w:tab w:val="left" w:pos="170"/>
        </w:tabs>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1.2.2出资比例：见投标人须知前附表。</w:t>
      </w:r>
    </w:p>
    <w:p w14:paraId="5DC96887">
      <w:pPr>
        <w:widowControl/>
        <w:tabs>
          <w:tab w:val="left" w:pos="170"/>
        </w:tabs>
        <w:spacing w:line="360" w:lineRule="auto"/>
        <w:jc w:val="left"/>
        <w:rPr>
          <w:rFonts w:hint="eastAsia" w:ascii="宋体" w:hAnsi="宋体" w:eastAsia="宋体" w:cs="宋体"/>
          <w:color w:val="auto"/>
          <w:highlight w:val="none"/>
          <w:lang w:val="en-US"/>
        </w:rPr>
      </w:pPr>
      <w:r>
        <w:rPr>
          <w:rFonts w:hint="eastAsia" w:ascii="宋体" w:hAnsi="宋体" w:eastAsia="宋体" w:cs="宋体"/>
          <w:b/>
          <w:color w:val="auto"/>
          <w:szCs w:val="21"/>
          <w:highlight w:val="none"/>
        </w:rPr>
        <w:t>1.3 采购内容、质量要求、</w:t>
      </w:r>
      <w:r>
        <w:rPr>
          <w:rFonts w:hint="eastAsia" w:ascii="宋体" w:hAnsi="宋体" w:eastAsia="宋体" w:cs="宋体"/>
          <w:b/>
          <w:color w:val="auto"/>
          <w:szCs w:val="21"/>
          <w:highlight w:val="none"/>
          <w:lang w:val="en-US" w:eastAsia="zh-CN"/>
        </w:rPr>
        <w:t>服务期限</w:t>
      </w:r>
    </w:p>
    <w:p w14:paraId="556E87B9">
      <w:pPr>
        <w:widowControl/>
        <w:tabs>
          <w:tab w:val="left" w:pos="181"/>
          <w:tab w:val="left" w:pos="35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采购内容：见投标人须知前附表。</w:t>
      </w:r>
    </w:p>
    <w:p w14:paraId="7D229277">
      <w:pPr>
        <w:widowControl/>
        <w:tabs>
          <w:tab w:val="left" w:pos="181"/>
          <w:tab w:val="left" w:pos="35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质量要求：见投标人须知前附表。</w:t>
      </w:r>
    </w:p>
    <w:p w14:paraId="2677BD05">
      <w:pPr>
        <w:widowControl/>
        <w:tabs>
          <w:tab w:val="left" w:pos="181"/>
          <w:tab w:val="left" w:pos="35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1.3.3 </w:t>
      </w:r>
      <w:r>
        <w:rPr>
          <w:rFonts w:hint="eastAsia" w:ascii="宋体" w:hAnsi="宋体" w:eastAsia="宋体" w:cs="宋体"/>
          <w:color w:val="auto"/>
          <w:kern w:val="0"/>
          <w:sz w:val="21"/>
          <w:szCs w:val="21"/>
          <w:highlight w:val="none"/>
          <w:lang w:val="en-US" w:eastAsia="zh-CN"/>
        </w:rPr>
        <w:t>服务期限</w:t>
      </w:r>
      <w:r>
        <w:rPr>
          <w:rFonts w:hint="eastAsia" w:ascii="宋体" w:hAnsi="宋体" w:eastAsia="宋体" w:cs="宋体"/>
          <w:color w:val="auto"/>
          <w:szCs w:val="21"/>
          <w:highlight w:val="none"/>
        </w:rPr>
        <w:t>：见投标人须知前附表。</w:t>
      </w:r>
    </w:p>
    <w:p w14:paraId="48AF0F25">
      <w:pPr>
        <w:widowControl/>
        <w:tabs>
          <w:tab w:val="left" w:pos="170"/>
        </w:tabs>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1.4 投标人资格要求 </w:t>
      </w:r>
    </w:p>
    <w:p w14:paraId="3EFAE6F7">
      <w:pPr>
        <w:widowControl/>
        <w:tabs>
          <w:tab w:val="left" w:pos="181"/>
          <w:tab w:val="left" w:pos="35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投标人资格要求：见投标人须知前附表。</w:t>
      </w:r>
    </w:p>
    <w:p w14:paraId="2E6771CC">
      <w:pPr>
        <w:widowControl/>
        <w:tabs>
          <w:tab w:val="left" w:pos="181"/>
          <w:tab w:val="left" w:pos="35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是否接受联合体投标：见投标人须知前附表。</w:t>
      </w:r>
    </w:p>
    <w:p w14:paraId="261864D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 投标人不得存在下列情形之一：</w:t>
      </w:r>
    </w:p>
    <w:p w14:paraId="5057F5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(l）为采购人不具有独立法人资格的附属机构（单位）； </w:t>
      </w:r>
    </w:p>
    <w:p w14:paraId="007D44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(2）为本项目前期准备提供咨询服务的；</w:t>
      </w:r>
    </w:p>
    <w:p w14:paraId="033806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(3）为本项目提供采购代理机构服务的；</w:t>
      </w:r>
    </w:p>
    <w:p w14:paraId="296525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(4）与本项目的采购代理机构同为一个法定代表人的；</w:t>
      </w:r>
    </w:p>
    <w:p w14:paraId="7BC64C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(5）与本项目的采购代理机构相互控股或参股的；</w:t>
      </w:r>
    </w:p>
    <w:p w14:paraId="13BE5C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(6）与本项目的采购代理机构相互任职或工作的；</w:t>
      </w:r>
    </w:p>
    <w:p w14:paraId="3CB1E3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(7）被责令停业的；</w:t>
      </w:r>
    </w:p>
    <w:p w14:paraId="303609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(8）被暂停或取消投标资格的；</w:t>
      </w:r>
    </w:p>
    <w:p w14:paraId="5E1C77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(9）财产被接管或冻结的；</w:t>
      </w:r>
    </w:p>
    <w:p w14:paraId="44EC29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(10）在最近三年内有骗取中标或严重违约情况的。</w:t>
      </w:r>
    </w:p>
    <w:p w14:paraId="05730BC0">
      <w:pPr>
        <w:widowControl/>
        <w:tabs>
          <w:tab w:val="left" w:pos="0"/>
        </w:tabs>
        <w:spacing w:line="360" w:lineRule="auto"/>
        <w:ind w:left="-2" w:leftChars="-1" w:firstLine="2"/>
        <w:jc w:val="left"/>
        <w:rPr>
          <w:rFonts w:hint="eastAsia" w:ascii="宋体" w:hAnsi="宋体" w:eastAsia="宋体" w:cs="宋体"/>
          <w:b/>
          <w:color w:val="auto"/>
          <w:szCs w:val="21"/>
          <w:highlight w:val="none"/>
        </w:rPr>
      </w:pPr>
      <w:bookmarkStart w:id="13" w:name="_Toc297211670"/>
      <w:r>
        <w:rPr>
          <w:rFonts w:hint="eastAsia" w:ascii="宋体" w:hAnsi="宋体" w:eastAsia="宋体" w:cs="宋体"/>
          <w:b/>
          <w:color w:val="auto"/>
          <w:szCs w:val="21"/>
          <w:highlight w:val="none"/>
        </w:rPr>
        <w:t>1.5 付款方式</w:t>
      </w:r>
      <w:bookmarkEnd w:id="13"/>
    </w:p>
    <w:p w14:paraId="143D9027">
      <w:pPr>
        <w:widowControl/>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见第五章合同条款及投标人须知前附表。</w:t>
      </w:r>
    </w:p>
    <w:p w14:paraId="3B246984">
      <w:pPr>
        <w:widowControl/>
        <w:numPr>
          <w:ilvl w:val="1"/>
          <w:numId w:val="3"/>
        </w:num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费用承担</w:t>
      </w:r>
    </w:p>
    <w:p w14:paraId="4B80818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投标人准备和参加投标活动发生的费用自理。</w:t>
      </w:r>
    </w:p>
    <w:p w14:paraId="3041F685">
      <w:pPr>
        <w:widowControl/>
        <w:numPr>
          <w:ilvl w:val="1"/>
          <w:numId w:val="3"/>
        </w:num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保密</w:t>
      </w:r>
    </w:p>
    <w:p w14:paraId="3E755F5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参与招标投标活动的各方应对招标文件和投标文件中的商业和技术等秘密保密，违者应对由此造成的后果承担法律责任。</w:t>
      </w:r>
    </w:p>
    <w:p w14:paraId="2D4B1469">
      <w:pPr>
        <w:widowControl/>
        <w:numPr>
          <w:ilvl w:val="1"/>
          <w:numId w:val="3"/>
        </w:num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语言文字</w:t>
      </w:r>
    </w:p>
    <w:p w14:paraId="7A2A888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除专用术语外，与招标投标有关的语言均使用中文。必要时专用术语应附有中文注释。</w:t>
      </w:r>
    </w:p>
    <w:p w14:paraId="22F4952A">
      <w:pPr>
        <w:widowControl/>
        <w:numPr>
          <w:ilvl w:val="1"/>
          <w:numId w:val="3"/>
        </w:num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计量单位</w:t>
      </w:r>
    </w:p>
    <w:p w14:paraId="163D49B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所有计量均采用中华人民共和国法定计量单位。</w:t>
      </w:r>
    </w:p>
    <w:p w14:paraId="71742E9B">
      <w:pPr>
        <w:spacing w:line="400" w:lineRule="exact"/>
        <w:rPr>
          <w:rFonts w:hint="eastAsia" w:ascii="宋体" w:hAnsi="宋体" w:eastAsia="宋体" w:cs="宋体"/>
          <w:b/>
          <w:color w:val="auto"/>
          <w:highlight w:val="none"/>
        </w:rPr>
      </w:pPr>
      <w:bookmarkStart w:id="14" w:name="_Toc244935164"/>
      <w:bookmarkStart w:id="15" w:name="_Toc414956952"/>
      <w:bookmarkStart w:id="16" w:name="_Toc191983616"/>
      <w:bookmarkStart w:id="17" w:name="_Toc234213529"/>
      <w:bookmarkStart w:id="18" w:name="_Toc244934195"/>
      <w:r>
        <w:rPr>
          <w:rFonts w:hint="eastAsia" w:ascii="宋体" w:hAnsi="宋体" w:eastAsia="宋体" w:cs="宋体"/>
          <w:b/>
          <w:color w:val="auto"/>
          <w:highlight w:val="none"/>
        </w:rPr>
        <w:t>1.10 投标预备会</w:t>
      </w:r>
    </w:p>
    <w:p w14:paraId="254F4327">
      <w:pPr>
        <w:spacing w:line="40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见投标人须知前附表。</w:t>
      </w:r>
    </w:p>
    <w:p w14:paraId="12139B0C">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1.11偏离</w:t>
      </w:r>
    </w:p>
    <w:p w14:paraId="226191A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见投标人须知前附表。</w:t>
      </w:r>
    </w:p>
    <w:p w14:paraId="765E4C37">
      <w:pPr>
        <w:keepNext/>
        <w:keepLines/>
        <w:spacing w:line="360" w:lineRule="auto"/>
        <w:outlineLvl w:val="1"/>
        <w:rPr>
          <w:rFonts w:hint="eastAsia" w:ascii="宋体" w:hAnsi="宋体" w:eastAsia="宋体" w:cs="宋体"/>
          <w:b/>
          <w:color w:val="auto"/>
          <w:szCs w:val="21"/>
          <w:highlight w:val="none"/>
        </w:rPr>
      </w:pPr>
      <w:bookmarkStart w:id="19" w:name="_Toc22049"/>
      <w:bookmarkStart w:id="20" w:name="_Toc26937"/>
      <w:r>
        <w:rPr>
          <w:rFonts w:hint="eastAsia" w:ascii="宋体" w:hAnsi="宋体" w:eastAsia="宋体" w:cs="宋体"/>
          <w:b/>
          <w:color w:val="auto"/>
          <w:szCs w:val="21"/>
          <w:highlight w:val="none"/>
        </w:rPr>
        <w:t>2. 招标文件</w:t>
      </w:r>
      <w:bookmarkEnd w:id="14"/>
      <w:bookmarkEnd w:id="15"/>
      <w:bookmarkEnd w:id="16"/>
      <w:bookmarkEnd w:id="17"/>
      <w:bookmarkEnd w:id="18"/>
      <w:bookmarkEnd w:id="19"/>
      <w:bookmarkEnd w:id="20"/>
    </w:p>
    <w:p w14:paraId="69F1E390">
      <w:pPr>
        <w:spacing w:line="360" w:lineRule="auto"/>
        <w:rPr>
          <w:rFonts w:hint="eastAsia" w:ascii="宋体" w:hAnsi="宋体" w:eastAsia="宋体" w:cs="宋体"/>
          <w:b/>
          <w:color w:val="auto"/>
          <w:szCs w:val="21"/>
          <w:highlight w:val="none"/>
        </w:rPr>
      </w:pPr>
      <w:bookmarkStart w:id="21" w:name="_Toc297211672"/>
      <w:r>
        <w:rPr>
          <w:rFonts w:hint="eastAsia" w:ascii="宋体" w:hAnsi="宋体" w:eastAsia="宋体" w:cs="宋体"/>
          <w:b/>
          <w:color w:val="auto"/>
          <w:szCs w:val="21"/>
          <w:highlight w:val="none"/>
        </w:rPr>
        <w:t>2.1 招标文件的组成</w:t>
      </w:r>
      <w:bookmarkEnd w:id="21"/>
    </w:p>
    <w:p w14:paraId="3D868AD1">
      <w:pPr>
        <w:widowControl/>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本招标文件包括：</w:t>
      </w:r>
    </w:p>
    <w:p w14:paraId="1F280BBC">
      <w:pPr>
        <w:widowControl/>
        <w:tabs>
          <w:tab w:val="left" w:pos="525"/>
        </w:tabs>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38B9C132">
      <w:pPr>
        <w:widowControl/>
        <w:tabs>
          <w:tab w:val="left" w:pos="525"/>
        </w:tabs>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2387988A">
      <w:pPr>
        <w:widowControl/>
        <w:tabs>
          <w:tab w:val="left" w:pos="525"/>
        </w:tabs>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（3）评标办法；</w:t>
      </w:r>
    </w:p>
    <w:p w14:paraId="15338795">
      <w:pPr>
        <w:pStyle w:val="21"/>
        <w:ind w:firstLine="210"/>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采购需求</w:t>
      </w:r>
      <w:r>
        <w:rPr>
          <w:rFonts w:hint="eastAsia" w:ascii="宋体" w:hAnsi="宋体" w:eastAsia="宋体" w:cs="宋体"/>
          <w:color w:val="auto"/>
          <w:szCs w:val="21"/>
          <w:highlight w:val="none"/>
        </w:rPr>
        <w:t>；</w:t>
      </w:r>
    </w:p>
    <w:p w14:paraId="3D53A93A">
      <w:pPr>
        <w:widowControl/>
        <w:tabs>
          <w:tab w:val="left" w:pos="525"/>
        </w:tabs>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（5）合同主要条款及格式；</w:t>
      </w:r>
    </w:p>
    <w:p w14:paraId="30E9DC81">
      <w:pPr>
        <w:widowControl/>
        <w:tabs>
          <w:tab w:val="left" w:pos="525"/>
        </w:tabs>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14:paraId="2FFCEA5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根据本章第 2.2.1款和第 2.2.2 款对招标文件所作的澄清、修改，构成招标文件的组成部分。</w:t>
      </w:r>
    </w:p>
    <w:p w14:paraId="55713B7F">
      <w:pPr>
        <w:widowControl/>
        <w:tabs>
          <w:tab w:val="left" w:pos="170"/>
        </w:tabs>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 招标文件的澄清</w:t>
      </w:r>
    </w:p>
    <w:p w14:paraId="0CD1BBA8">
      <w:pPr>
        <w:spacing w:line="360" w:lineRule="auto"/>
        <w:ind w:firstLine="420" w:firstLineChars="200"/>
        <w:rPr>
          <w:rFonts w:hint="eastAsia" w:ascii="宋体" w:hAnsi="宋体" w:eastAsia="宋体" w:cs="宋体"/>
          <w:b/>
          <w:bCs/>
          <w:color w:val="auto"/>
          <w:highlight w:val="none"/>
        </w:rPr>
      </w:pPr>
      <w:bookmarkStart w:id="22" w:name="_Toc414956953"/>
      <w:r>
        <w:rPr>
          <w:rFonts w:hint="eastAsia" w:ascii="宋体" w:hAnsi="宋体" w:eastAsia="宋体" w:cs="宋体"/>
          <w:color w:val="auto"/>
          <w:highlight w:val="none"/>
        </w:rPr>
        <w:t>2.2.1投标人应仔细阅读和检查招标文件的全部内容。</w:t>
      </w:r>
      <w:r>
        <w:rPr>
          <w:rFonts w:hint="eastAsia" w:ascii="宋体" w:hAnsi="宋体" w:eastAsia="宋体" w:cs="宋体"/>
          <w:color w:val="auto"/>
          <w:szCs w:val="21"/>
          <w:highlight w:val="none"/>
        </w:rPr>
        <w:t>如发现缺页或附件不全，应及时向招标人提出，以便补齐。</w:t>
      </w:r>
      <w:r>
        <w:rPr>
          <w:rFonts w:hint="eastAsia" w:ascii="宋体" w:hAnsi="宋体" w:eastAsia="宋体" w:cs="宋体"/>
          <w:b/>
          <w:bCs/>
          <w:color w:val="auto"/>
          <w:highlight w:val="none"/>
        </w:rPr>
        <w:t>如有疑问，应在投标人须知前附表规定的时间前</w:t>
      </w:r>
      <w:r>
        <w:rPr>
          <w:rFonts w:hint="eastAsia" w:ascii="宋体" w:hAnsi="宋体" w:eastAsia="宋体" w:cs="宋体"/>
          <w:b/>
          <w:bCs/>
          <w:color w:val="auto"/>
          <w:szCs w:val="21"/>
          <w:highlight w:val="none"/>
        </w:rPr>
        <w:t>以书面形式（包括信函、电报、传真等可以有形表现所载内容的形式，下同），</w:t>
      </w:r>
      <w:r>
        <w:rPr>
          <w:rFonts w:hint="eastAsia" w:ascii="宋体" w:hAnsi="宋体" w:eastAsia="宋体" w:cs="宋体"/>
          <w:b/>
          <w:bCs/>
          <w:color w:val="auto"/>
          <w:highlight w:val="none"/>
        </w:rPr>
        <w:t>要求招标人对招标文件予以澄清。</w:t>
      </w:r>
    </w:p>
    <w:p w14:paraId="4E7A11E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2.2.2 招标文件的澄清将在投标人须知前附表规定的投标截止时间15天前在信阳市公共资源交易系统</w:t>
      </w:r>
      <w:r>
        <w:rPr>
          <w:rFonts w:hint="eastAsia" w:ascii="宋体" w:hAnsi="宋体" w:eastAsia="宋体" w:cs="宋体"/>
          <w:b/>
          <w:bCs/>
          <w:color w:val="auto"/>
          <w:highlight w:val="none"/>
        </w:rPr>
        <w:t>“变更公告”或“答疑文件”</w:t>
      </w:r>
      <w:r>
        <w:rPr>
          <w:rFonts w:hint="eastAsia" w:ascii="宋体" w:hAnsi="宋体" w:eastAsia="宋体" w:cs="宋体"/>
          <w:color w:val="auto"/>
          <w:szCs w:val="21"/>
          <w:highlight w:val="none"/>
        </w:rPr>
        <w:t>将澄清内容予以发布，</w:t>
      </w:r>
      <w:r>
        <w:rPr>
          <w:rFonts w:hint="eastAsia" w:ascii="宋体" w:hAnsi="宋体" w:eastAsia="宋体" w:cs="宋体"/>
          <w:color w:val="auto"/>
          <w:highlight w:val="none"/>
        </w:rPr>
        <w:t>但不指明澄清问题的来源。如果澄清的内容可能影响投标文件编制且发出的时间距投标截止时间不足15天，相应延长投标截止时间。</w:t>
      </w:r>
    </w:p>
    <w:p w14:paraId="518EF4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投标人应在投标文件递交截止时间前及时查看澄清内容，因投标人未及时查看而造成的后果自负。</w:t>
      </w:r>
    </w:p>
    <w:p w14:paraId="241251A7">
      <w:pPr>
        <w:pStyle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招标文件的修改</w:t>
      </w:r>
    </w:p>
    <w:p w14:paraId="5BD121D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2.3.1 在投标截止时间15天前，招标人可以修改招标文件。如有修改，应在信阳市公共资源交易系统</w:t>
      </w:r>
      <w:r>
        <w:rPr>
          <w:rFonts w:hint="eastAsia" w:ascii="宋体" w:hAnsi="宋体" w:eastAsia="宋体" w:cs="宋体"/>
          <w:b/>
          <w:bCs/>
          <w:color w:val="auto"/>
          <w:highlight w:val="none"/>
        </w:rPr>
        <w:t>“变更公告”或“答疑文件”</w:t>
      </w:r>
      <w:r>
        <w:rPr>
          <w:rFonts w:hint="eastAsia" w:ascii="宋体" w:hAnsi="宋体" w:eastAsia="宋体" w:cs="宋体"/>
          <w:color w:val="auto"/>
          <w:szCs w:val="21"/>
          <w:highlight w:val="none"/>
        </w:rPr>
        <w:t>将修改内容予以发布</w:t>
      </w:r>
      <w:r>
        <w:rPr>
          <w:rFonts w:hint="eastAsia" w:ascii="宋体" w:hAnsi="宋体" w:eastAsia="宋体" w:cs="宋体"/>
          <w:color w:val="auto"/>
          <w:highlight w:val="none"/>
        </w:rPr>
        <w:t>。如果修改的内容可能影响投标文件编制且发出的时间距投标截止时间不足15天，相应延长投标截止时间。</w:t>
      </w:r>
    </w:p>
    <w:p w14:paraId="4858162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当招标文件的澄清、修改、补充等在同一内容的表述上不一致时，</w:t>
      </w:r>
      <w:r>
        <w:rPr>
          <w:rFonts w:hint="eastAsia" w:ascii="宋体" w:hAnsi="宋体" w:eastAsia="宋体" w:cs="宋体"/>
          <w:color w:val="auto"/>
          <w:szCs w:val="21"/>
          <w:highlight w:val="none"/>
        </w:rPr>
        <w:t>以最后在信阳市公共资源交易系统发出的文件为准。</w:t>
      </w:r>
    </w:p>
    <w:p w14:paraId="4BB422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投标人应在投标文件递交截止时间前及时查看修改内容，因投标人未及时查看而造成的后果自负。</w:t>
      </w:r>
    </w:p>
    <w:p w14:paraId="37310145">
      <w:pPr>
        <w:keepNext/>
        <w:keepLines/>
        <w:spacing w:line="360" w:lineRule="auto"/>
        <w:outlineLvl w:val="1"/>
        <w:rPr>
          <w:rFonts w:hint="eastAsia" w:ascii="宋体" w:hAnsi="宋体" w:eastAsia="宋体" w:cs="宋体"/>
          <w:b/>
          <w:color w:val="auto"/>
          <w:szCs w:val="21"/>
          <w:highlight w:val="none"/>
        </w:rPr>
      </w:pPr>
      <w:bookmarkStart w:id="23" w:name="_Toc29796"/>
      <w:bookmarkStart w:id="24" w:name="_Toc17189"/>
      <w:r>
        <w:rPr>
          <w:rFonts w:hint="eastAsia" w:ascii="宋体" w:hAnsi="宋体" w:eastAsia="宋体" w:cs="宋体"/>
          <w:b/>
          <w:color w:val="auto"/>
          <w:szCs w:val="21"/>
          <w:highlight w:val="none"/>
        </w:rPr>
        <w:t>3. 投标文件</w:t>
      </w:r>
      <w:bookmarkEnd w:id="22"/>
      <w:bookmarkEnd w:id="23"/>
      <w:bookmarkEnd w:id="24"/>
    </w:p>
    <w:p w14:paraId="26764A8E">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3.1投标文件的组成</w:t>
      </w:r>
    </w:p>
    <w:p w14:paraId="41CB90C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投标文件应包括内容：</w:t>
      </w:r>
      <w:bookmarkStart w:id="25" w:name="_Toc297211674"/>
    </w:p>
    <w:p w14:paraId="17DCFD98">
      <w:pPr>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详见招标文件第六章“投标文件格式”。</w:t>
      </w:r>
    </w:p>
    <w:bookmarkEnd w:id="25"/>
    <w:p w14:paraId="44C73790">
      <w:pPr>
        <w:spacing w:line="400" w:lineRule="exact"/>
        <w:rPr>
          <w:rFonts w:ascii="宋体" w:hAnsi="宋体" w:cs="宋体"/>
          <w:b/>
          <w:color w:val="auto"/>
          <w:szCs w:val="21"/>
          <w:highlight w:val="none"/>
        </w:rPr>
      </w:pPr>
      <w:r>
        <w:rPr>
          <w:rFonts w:hint="eastAsia" w:ascii="宋体" w:hAnsi="宋体" w:cs="宋体"/>
          <w:b/>
          <w:color w:val="auto"/>
          <w:szCs w:val="21"/>
          <w:highlight w:val="none"/>
        </w:rPr>
        <w:t>3.2 投标报价</w:t>
      </w:r>
    </w:p>
    <w:p w14:paraId="6ADE3A7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3.2.1投标人应按招标文件、招标文件澄清（答疑）纪要、招标文件修改补充通知及相关技术要求进行报价。</w:t>
      </w:r>
    </w:p>
    <w:p w14:paraId="166FAB99">
      <w:pPr>
        <w:spacing w:line="400" w:lineRule="exact"/>
        <w:ind w:firstLine="422"/>
        <w:rPr>
          <w:rFonts w:ascii="宋体" w:hAnsi="宋体" w:cs="宋体"/>
          <w:b/>
          <w:color w:val="auto"/>
          <w:szCs w:val="21"/>
          <w:highlight w:val="none"/>
        </w:rPr>
      </w:pPr>
      <w:r>
        <w:rPr>
          <w:rFonts w:hint="eastAsia" w:ascii="宋体" w:hAnsi="宋体" w:cs="宋体"/>
          <w:b/>
          <w:color w:val="auto"/>
          <w:szCs w:val="21"/>
          <w:highlight w:val="none"/>
        </w:rPr>
        <w:t>3.2.2本项目设预算价（最高限价）（见投标人须知前附表），投标人的报价不得超过采购人发布的预算价（最高限价），否则其投标做无效投标处理。</w:t>
      </w:r>
    </w:p>
    <w:p w14:paraId="00D3003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3.2.3本项目的投标总报价以3.2.1条为依据由投标人自主报价，即投标人根据招标项目的具体内容、现场情况、技术要求等自主报价，投标人的报价不得低于企业成本。</w:t>
      </w:r>
    </w:p>
    <w:p w14:paraId="69A98DF2">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3.2.4投标人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14:paraId="03EF3E7A">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3.2.5 投标人的投标总报价具有唯一性，采购人不接受任何可变价，投标人的投标报价理解为所有费用（3.2.4条所列各项等一切费用），投标人的投标报价如有漏项，视为已经包含在投标报价内。</w:t>
      </w:r>
    </w:p>
    <w:p w14:paraId="29A21D6C">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3.2.6投标人负责国外生产的货物的进口手续办理（如有的话）。用外汇购入某些投标货物，需折合人民币计入总报价中；</w:t>
      </w:r>
    </w:p>
    <w:p w14:paraId="3A322E0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3.2.7投标总报价是评标的重要依据，但不是唯一依据，最低报价不是中标的决定因素；</w:t>
      </w:r>
    </w:p>
    <w:p w14:paraId="54C51FB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3.2.8全部报价均应以人民币为计量币种，并以人民币进行结算。</w:t>
      </w:r>
    </w:p>
    <w:p w14:paraId="791ADAD4">
      <w:pPr>
        <w:spacing w:line="400" w:lineRule="exact"/>
        <w:ind w:firstLine="422"/>
        <w:rPr>
          <w:rFonts w:ascii="宋体" w:hAnsi="宋体" w:cs="宋体"/>
          <w:color w:val="auto"/>
          <w:highlight w:val="none"/>
          <w:lang w:val="zh-CN"/>
        </w:rPr>
      </w:pPr>
      <w:r>
        <w:rPr>
          <w:rFonts w:hint="eastAsia" w:ascii="宋体" w:hAnsi="宋体" w:cs="宋体"/>
          <w:b/>
          <w:bCs/>
          <w:color w:val="auto"/>
          <w:szCs w:val="21"/>
          <w:highlight w:val="none"/>
        </w:rPr>
        <w:t>3.3</w:t>
      </w:r>
      <w:r>
        <w:rPr>
          <w:rFonts w:hint="eastAsia" w:ascii="宋体" w:hAnsi="宋体" w:cs="宋体"/>
          <w:b/>
          <w:bCs/>
          <w:color w:val="auto"/>
          <w:szCs w:val="21"/>
          <w:highlight w:val="none"/>
          <w:lang w:val="zh-CN"/>
        </w:rPr>
        <w:t>小型微型企业认定及评标价格评审（非专门面向中小企业适用）</w:t>
      </w:r>
    </w:p>
    <w:tbl>
      <w:tblPr>
        <w:tblStyle w:val="23"/>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2B2B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ign w:val="center"/>
          </w:tcPr>
          <w:p w14:paraId="6BD4399F">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内容</w:t>
            </w:r>
          </w:p>
        </w:tc>
        <w:tc>
          <w:tcPr>
            <w:tcW w:w="1561" w:type="dxa"/>
            <w:noWrap/>
            <w:vAlign w:val="center"/>
          </w:tcPr>
          <w:p w14:paraId="7416B7A9">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大型企业</w:t>
            </w:r>
          </w:p>
        </w:tc>
        <w:tc>
          <w:tcPr>
            <w:tcW w:w="1492" w:type="dxa"/>
            <w:noWrap/>
            <w:vAlign w:val="center"/>
          </w:tcPr>
          <w:p w14:paraId="5F033AC5">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中型企业</w:t>
            </w:r>
          </w:p>
        </w:tc>
        <w:tc>
          <w:tcPr>
            <w:tcW w:w="2273" w:type="dxa"/>
            <w:noWrap/>
            <w:vAlign w:val="center"/>
          </w:tcPr>
          <w:p w14:paraId="2A36FE07">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小型企业</w:t>
            </w:r>
          </w:p>
        </w:tc>
        <w:tc>
          <w:tcPr>
            <w:tcW w:w="2094" w:type="dxa"/>
            <w:noWrap/>
            <w:vAlign w:val="center"/>
          </w:tcPr>
          <w:p w14:paraId="5BB73620">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微型企业</w:t>
            </w:r>
          </w:p>
        </w:tc>
      </w:tr>
      <w:tr w14:paraId="4C7F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ign w:val="center"/>
          </w:tcPr>
          <w:p w14:paraId="58D60BCD">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价格=</w:t>
            </w:r>
          </w:p>
        </w:tc>
        <w:tc>
          <w:tcPr>
            <w:tcW w:w="1561" w:type="dxa"/>
            <w:noWrap/>
            <w:vAlign w:val="center"/>
          </w:tcPr>
          <w:p w14:paraId="740487EF">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报价</w:t>
            </w:r>
          </w:p>
        </w:tc>
        <w:tc>
          <w:tcPr>
            <w:tcW w:w="1492" w:type="dxa"/>
            <w:noWrap/>
            <w:vAlign w:val="center"/>
          </w:tcPr>
          <w:p w14:paraId="1AA439CD">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报价</w:t>
            </w:r>
          </w:p>
        </w:tc>
        <w:tc>
          <w:tcPr>
            <w:tcW w:w="2273" w:type="dxa"/>
            <w:noWrap/>
            <w:vAlign w:val="center"/>
          </w:tcPr>
          <w:p w14:paraId="77DFCA15">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报价×（1-</w:t>
            </w:r>
            <w:r>
              <w:rPr>
                <w:rFonts w:hint="eastAsia" w:ascii="宋体" w:hAnsi="宋体" w:cs="宋体"/>
                <w:color w:val="auto"/>
                <w:szCs w:val="21"/>
                <w:highlight w:val="none"/>
              </w:rPr>
              <w:t>20</w:t>
            </w:r>
            <w:r>
              <w:rPr>
                <w:rFonts w:hint="eastAsia" w:ascii="宋体" w:hAnsi="宋体" w:cs="宋体"/>
                <w:color w:val="auto"/>
                <w:szCs w:val="21"/>
                <w:highlight w:val="none"/>
                <w:lang w:val="zh-CN"/>
              </w:rPr>
              <w:t>%）</w:t>
            </w:r>
          </w:p>
        </w:tc>
        <w:tc>
          <w:tcPr>
            <w:tcW w:w="2094" w:type="dxa"/>
            <w:noWrap/>
            <w:vAlign w:val="center"/>
          </w:tcPr>
          <w:p w14:paraId="4A419B2B">
            <w:pPr>
              <w:spacing w:line="400" w:lineRule="exact"/>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报价×（1-</w:t>
            </w:r>
            <w:r>
              <w:rPr>
                <w:rFonts w:hint="eastAsia" w:ascii="宋体" w:hAnsi="宋体" w:cs="宋体"/>
                <w:color w:val="auto"/>
                <w:szCs w:val="21"/>
                <w:highlight w:val="none"/>
              </w:rPr>
              <w:t>20</w:t>
            </w:r>
            <w:r>
              <w:rPr>
                <w:rFonts w:hint="eastAsia" w:ascii="宋体" w:hAnsi="宋体" w:cs="宋体"/>
                <w:color w:val="auto"/>
                <w:szCs w:val="21"/>
                <w:highlight w:val="none"/>
                <w:lang w:val="zh-CN"/>
              </w:rPr>
              <w:t>%）</w:t>
            </w:r>
          </w:p>
        </w:tc>
      </w:tr>
    </w:tbl>
    <w:p w14:paraId="6DF59BBE">
      <w:pPr>
        <w:autoSpaceDE w:val="0"/>
        <w:autoSpaceDN w:val="0"/>
        <w:adjustRightInd w:val="0"/>
        <w:spacing w:line="40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3.3.1</w:t>
      </w:r>
      <w:r>
        <w:rPr>
          <w:rFonts w:hint="eastAsia" w:ascii="宋体" w:hAnsi="宋体" w:cs="宋体"/>
          <w:color w:val="auto"/>
          <w:kern w:val="0"/>
          <w:szCs w:val="21"/>
          <w:highlight w:val="none"/>
          <w:lang w:val="zh-CN"/>
        </w:rPr>
        <w:t>根据《政府采购促进中小企业发展管理办法》（财库[20</w:t>
      </w:r>
      <w:r>
        <w:rPr>
          <w:rFonts w:hint="eastAsia" w:ascii="宋体" w:hAnsi="宋体" w:cs="宋体"/>
          <w:color w:val="auto"/>
          <w:kern w:val="0"/>
          <w:szCs w:val="21"/>
          <w:highlight w:val="none"/>
        </w:rPr>
        <w:t>20</w:t>
      </w: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rPr>
        <w:t>46</w:t>
      </w:r>
      <w:r>
        <w:rPr>
          <w:rFonts w:hint="eastAsia" w:ascii="宋体" w:hAnsi="宋体" w:cs="宋体"/>
          <w:color w:val="auto"/>
          <w:kern w:val="0"/>
          <w:szCs w:val="21"/>
          <w:highlight w:val="none"/>
          <w:lang w:val="zh-CN"/>
        </w:rPr>
        <w:t>号）的规定、《工业和信息化部、国家统计局、国家发展和改革委员会、财政部关于印发中小企业划型标准规定的通知》（工信部联企业[</w:t>
      </w:r>
      <w:r>
        <w:rPr>
          <w:rFonts w:hint="eastAsia" w:ascii="宋体" w:hAnsi="宋体" w:cs="宋体"/>
          <w:color w:val="auto"/>
          <w:kern w:val="0"/>
          <w:szCs w:val="21"/>
          <w:highlight w:val="none"/>
        </w:rPr>
        <w:t>20</w:t>
      </w:r>
      <w:r>
        <w:rPr>
          <w:rFonts w:hint="eastAsia" w:ascii="宋体" w:hAnsi="宋体" w:cs="宋体"/>
          <w:color w:val="auto"/>
          <w:kern w:val="0"/>
          <w:szCs w:val="21"/>
          <w:highlight w:val="none"/>
          <w:lang w:val="zh-CN"/>
        </w:rPr>
        <w:t>11]300号）、河南省财政厅 河南省工业和信息化厅《关于政府采购促进小型微型企业发展的实施意见》（豫财购[</w:t>
      </w:r>
      <w:r>
        <w:rPr>
          <w:rFonts w:hint="eastAsia" w:ascii="宋体" w:hAnsi="宋体" w:cs="宋体"/>
          <w:color w:val="auto"/>
          <w:kern w:val="0"/>
          <w:szCs w:val="21"/>
          <w:highlight w:val="none"/>
        </w:rPr>
        <w:t>20</w:t>
      </w:r>
      <w:r>
        <w:rPr>
          <w:rFonts w:hint="eastAsia" w:ascii="宋体" w:hAnsi="宋体" w:cs="宋体"/>
          <w:color w:val="auto"/>
          <w:kern w:val="0"/>
          <w:szCs w:val="21"/>
          <w:highlight w:val="none"/>
          <w:lang w:val="zh-CN"/>
        </w:rPr>
        <w:t>13]14号）文件规定，对小型和微型企业产品的价格</w:t>
      </w:r>
      <w:r>
        <w:rPr>
          <w:rFonts w:hint="eastAsia" w:ascii="宋体" w:hAnsi="宋体"/>
          <w:color w:val="auto"/>
          <w:highlight w:val="none"/>
        </w:rPr>
        <w:t>给予10%-20%的扣除</w:t>
      </w:r>
      <w:r>
        <w:rPr>
          <w:rFonts w:hint="eastAsia" w:ascii="宋体" w:hAnsi="宋体" w:cs="宋体"/>
          <w:color w:val="auto"/>
          <w:kern w:val="0"/>
          <w:szCs w:val="21"/>
          <w:highlight w:val="none"/>
          <w:lang w:val="zh-CN"/>
        </w:rPr>
        <w:t>，用扣除后的价格参与评审。</w:t>
      </w:r>
    </w:p>
    <w:p w14:paraId="35CC8A07">
      <w:pPr>
        <w:autoSpaceDE w:val="0"/>
        <w:autoSpaceDN w:val="0"/>
        <w:adjustRightInd w:val="0"/>
        <w:spacing w:line="40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%的价格扣除，但必须提供由省级以上监狱管理局、戒毒管理局（含新疆生产建设兵团）出具的属于监狱企业的证明文件，否则评审时不予价格扣除优惠。</w:t>
      </w:r>
    </w:p>
    <w:p w14:paraId="66913221">
      <w:pPr>
        <w:autoSpaceDE w:val="0"/>
        <w:autoSpaceDN w:val="0"/>
        <w:adjustRightInd w:val="0"/>
        <w:spacing w:line="40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响应文件格式)，并对声明的真实性负责。</w:t>
      </w:r>
    </w:p>
    <w:p w14:paraId="176DCE38">
      <w:pPr>
        <w:spacing w:line="400" w:lineRule="exact"/>
        <w:ind w:firstLine="422"/>
        <w:rPr>
          <w:rFonts w:ascii="宋体" w:hAnsi="宋体" w:cs="宋体"/>
          <w:color w:val="auto"/>
          <w:szCs w:val="21"/>
          <w:highlight w:val="none"/>
        </w:rPr>
      </w:pPr>
      <w:r>
        <w:rPr>
          <w:rFonts w:hint="eastAsia" w:ascii="宋体" w:hAnsi="宋体" w:cs="宋体"/>
          <w:b/>
          <w:bCs/>
          <w:color w:val="auto"/>
          <w:szCs w:val="21"/>
          <w:highlight w:val="none"/>
        </w:rPr>
        <w:t>注：投标价格为含税价，应包含一切费用及后期培训费用等。</w:t>
      </w:r>
    </w:p>
    <w:p w14:paraId="53AFEF37">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投标有效期</w:t>
      </w:r>
    </w:p>
    <w:p w14:paraId="3E05DE6C">
      <w:pPr>
        <w:widowControl/>
        <w:spacing w:line="360" w:lineRule="auto"/>
        <w:ind w:firstLine="420" w:firstLineChars="200"/>
        <w:jc w:val="left"/>
        <w:rPr>
          <w:rFonts w:hint="eastAsia" w:ascii="宋体" w:hAnsi="宋体" w:eastAsia="宋体" w:cs="宋体"/>
          <w:color w:val="auto"/>
          <w:szCs w:val="21"/>
          <w:highlight w:val="none"/>
        </w:rPr>
      </w:pPr>
      <w:bookmarkStart w:id="26" w:name="_Toc297211675"/>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.1在投标人须知前附表规定的投标有效期内，投标人不得要求撤销或修改其投标文件。</w:t>
      </w:r>
    </w:p>
    <w:p w14:paraId="24EB19F1">
      <w:pPr>
        <w:widowControl/>
        <w:spacing w:line="360" w:lineRule="auto"/>
        <w:ind w:firstLine="399" w:firstLineChars="19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.2出现特殊情况需要延长投标有效期的，采购人以书面形式通知所有投标人延长投标有效期。投标人同意延长的，不得要求或被允许修改或撤销其投标文件；投标人拒绝延长的，其投标失效。</w:t>
      </w:r>
    </w:p>
    <w:p w14:paraId="1B91EB4B">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投标保证金</w:t>
      </w:r>
      <w:bookmarkEnd w:id="26"/>
      <w:r>
        <w:rPr>
          <w:rFonts w:hint="eastAsia" w:ascii="宋体" w:hAnsi="宋体" w:eastAsia="宋体" w:cs="宋体"/>
          <w:b/>
          <w:color w:val="auto"/>
          <w:szCs w:val="21"/>
          <w:highlight w:val="none"/>
        </w:rPr>
        <w:t>（无）</w:t>
      </w:r>
    </w:p>
    <w:p w14:paraId="565E86E9">
      <w:pPr>
        <w:spacing w:line="360" w:lineRule="auto"/>
        <w:rPr>
          <w:rFonts w:hint="eastAsia" w:ascii="宋体" w:hAnsi="宋体" w:eastAsia="宋体" w:cs="宋体"/>
          <w:b/>
          <w:color w:val="auto"/>
          <w:szCs w:val="21"/>
          <w:highlight w:val="none"/>
        </w:rPr>
      </w:pPr>
      <w:bookmarkStart w:id="27" w:name="_Toc297211678"/>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rPr>
        <w:t>投标文件的</w:t>
      </w:r>
      <w:bookmarkEnd w:id="27"/>
      <w:r>
        <w:rPr>
          <w:rFonts w:hint="eastAsia" w:ascii="宋体" w:hAnsi="宋体" w:eastAsia="宋体" w:cs="宋体"/>
          <w:b/>
          <w:color w:val="auto"/>
          <w:szCs w:val="21"/>
          <w:highlight w:val="none"/>
        </w:rPr>
        <w:t>制作</w:t>
      </w:r>
    </w:p>
    <w:p w14:paraId="597F5E57">
      <w:pPr>
        <w:tabs>
          <w:tab w:val="left" w:pos="420"/>
        </w:tabs>
        <w:spacing w:line="360" w:lineRule="auto"/>
        <w:ind w:firstLine="420" w:firstLineChars="200"/>
        <w:rPr>
          <w:rFonts w:hint="eastAsia" w:ascii="宋体" w:hAnsi="宋体" w:eastAsia="宋体" w:cs="宋体"/>
          <w:color w:val="auto"/>
          <w:szCs w:val="21"/>
          <w:highlight w:val="none"/>
        </w:rPr>
      </w:pPr>
      <w:bookmarkStart w:id="28" w:name="_Toc414956954"/>
      <w:bookmarkStart w:id="29" w:name="_Toc234213531"/>
      <w:bookmarkStart w:id="30" w:name="_Toc191983618"/>
      <w:bookmarkStart w:id="31" w:name="_Toc244935166"/>
      <w:bookmarkStart w:id="32" w:name="_Toc244934197"/>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.1投标人通过“全国公共资源交易平台（河南省·信阳市）（</w:t>
      </w:r>
      <w:r>
        <w:rPr>
          <w:rFonts w:hint="eastAsia" w:ascii="宋体" w:hAnsi="宋体" w:eastAsia="宋体" w:cs="宋体"/>
          <w:color w:val="auto"/>
          <w:szCs w:val="21"/>
          <w:highlight w:val="none"/>
          <w:lang w:eastAsia="zh-CN"/>
        </w:rPr>
        <w:t>https://ggzyjy.xinyang.gov.cn/</w:t>
      </w:r>
      <w:r>
        <w:rPr>
          <w:rFonts w:hint="eastAsia" w:ascii="宋体" w:hAnsi="宋体" w:eastAsia="宋体" w:cs="宋体"/>
          <w:color w:val="auto"/>
          <w:szCs w:val="21"/>
          <w:highlight w:val="none"/>
        </w:rPr>
        <w:t>）”网站下载中心栏目内下载或招标文件领取页面下载“信阳市投标文件制作工具软件”。</w:t>
      </w:r>
    </w:p>
    <w:p w14:paraId="21FAE161">
      <w:pPr>
        <w:tabs>
          <w:tab w:val="left" w:pos="42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.2使用“信阳市投标文件制作工具”软件制作生成加密版的电子投标文件，软件操作手册可在网站下载中心下载或打开软件后在右上角菜单内领取。</w:t>
      </w:r>
    </w:p>
    <w:p w14:paraId="7A79103D">
      <w:pPr>
        <w:tabs>
          <w:tab w:val="left" w:pos="42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投标人在电子投标文件制作完成后生成投标文件时须加盖电子签章/签名。其他要求签字盖章的投标文件格式内容，如无法进行电子签章/签名，投标人可将盖章/签名后的扫描件上传到电子投标文件中。签字盖章的其他要求详见投标人须知前附表。开标一览表报价将作为电子开标的唱标依据（若开标时电子唱标的开标一览表内容与投标文件内开标一览表内容不一致的，以开标时电子唱标的开标一览表内容为准。）</w:t>
      </w:r>
    </w:p>
    <w:p w14:paraId="106F46FB">
      <w:pPr>
        <w:tabs>
          <w:tab w:val="left" w:pos="42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招标文件格式所要求包含的全部资料应全部制作在投标文件内，严格按照本项目招标文件所有格式如实填写（不涉及的内容除外），不应存在漏项或缺项，否则将存在投标文件被拒绝的风险。</w:t>
      </w:r>
    </w:p>
    <w:p w14:paraId="0A8C3715">
      <w:pPr>
        <w:tabs>
          <w:tab w:val="left" w:pos="42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.5 投标人编辑电子投标文件时，最后一步生成电子投标文件时，请使用本单位的企业CA数字证书。</w:t>
      </w:r>
    </w:p>
    <w:p w14:paraId="728B2613">
      <w:pPr>
        <w:tabs>
          <w:tab w:val="left" w:pos="42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6投标人应按照招标文件的要求，规范、明确、准时的提交投标文件。如果没有按照招标文件的要求提交全部资料并保证所提供全部资料的真实性，或没有对招标文件做出实质性响应，其风险应由投标人自行承担。</w:t>
      </w:r>
    </w:p>
    <w:p w14:paraId="65C2979C">
      <w:pPr>
        <w:keepNext/>
        <w:keepLines/>
        <w:spacing w:line="360" w:lineRule="auto"/>
        <w:outlineLvl w:val="1"/>
        <w:rPr>
          <w:rFonts w:hint="eastAsia" w:ascii="宋体" w:hAnsi="宋体" w:eastAsia="宋体" w:cs="宋体"/>
          <w:b/>
          <w:color w:val="auto"/>
          <w:szCs w:val="21"/>
          <w:highlight w:val="none"/>
        </w:rPr>
      </w:pPr>
      <w:bookmarkStart w:id="33" w:name="_Toc32665"/>
      <w:bookmarkStart w:id="34" w:name="_Toc1012"/>
      <w:r>
        <w:rPr>
          <w:rFonts w:hint="eastAsia" w:ascii="宋体" w:hAnsi="宋体" w:eastAsia="宋体" w:cs="宋体"/>
          <w:b/>
          <w:color w:val="auto"/>
          <w:szCs w:val="21"/>
          <w:highlight w:val="none"/>
        </w:rPr>
        <w:t>4. 投标</w:t>
      </w:r>
      <w:bookmarkEnd w:id="28"/>
      <w:bookmarkEnd w:id="29"/>
      <w:bookmarkEnd w:id="30"/>
      <w:bookmarkEnd w:id="31"/>
      <w:bookmarkEnd w:id="32"/>
      <w:bookmarkEnd w:id="33"/>
      <w:bookmarkEnd w:id="34"/>
    </w:p>
    <w:p w14:paraId="0FD864CD">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 投标文件的递交</w:t>
      </w:r>
    </w:p>
    <w:p w14:paraId="47D0AEBB">
      <w:pPr>
        <w:spacing w:line="360" w:lineRule="auto"/>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投标人必须在投标截止时间前通过信阳市公共资源交易中心电子招投标系统上传加密的电子投标文件(*.XYTF格式)，本项目评标以电子投标文件为依据，未在投标截止时间前上传电子投标文件，视为自动放弃其投标。</w:t>
      </w:r>
    </w:p>
    <w:p w14:paraId="36AB3F8C">
      <w:pPr>
        <w:spacing w:line="360" w:lineRule="auto"/>
        <w:ind w:firstLine="401" w:firstLineChars="190"/>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 xml:space="preserve">4.1.2 投标人因信阳市电子招投标交易平台问题无法上传电子投标文件时，请在工作时间与交易中心联系（0376-6369677）。 </w:t>
      </w:r>
    </w:p>
    <w:p w14:paraId="252FB787">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 投标文件的修改与撤回</w:t>
      </w:r>
    </w:p>
    <w:p w14:paraId="146D3FF1">
      <w:pPr>
        <w:spacing w:line="360" w:lineRule="auto"/>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4.2.1在规定的投标截止时间前，投标人可以多次修改或撤回已递交的投标文件，最终投标文件以投标截止时间前完成上传至信阳市公共资源交易中心交易系统最后一份投标文件为准。</w:t>
      </w:r>
    </w:p>
    <w:p w14:paraId="22255881">
      <w:pPr>
        <w:spacing w:line="360" w:lineRule="auto"/>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4.2.2修改的投标文件应按照本章第3.5条、第4.1条规定进行编制和递交。</w:t>
      </w:r>
    </w:p>
    <w:p w14:paraId="689E4FBC">
      <w:pPr>
        <w:keepNext/>
        <w:keepLines/>
        <w:spacing w:line="360" w:lineRule="auto"/>
        <w:outlineLvl w:val="1"/>
        <w:rPr>
          <w:rFonts w:hint="eastAsia" w:ascii="宋体" w:hAnsi="宋体" w:eastAsia="宋体" w:cs="宋体"/>
          <w:b/>
          <w:color w:val="auto"/>
          <w:szCs w:val="21"/>
          <w:highlight w:val="none"/>
        </w:rPr>
      </w:pPr>
      <w:bookmarkStart w:id="35" w:name="_Toc244935167"/>
      <w:bookmarkStart w:id="36" w:name="_Toc191983619"/>
      <w:bookmarkStart w:id="37" w:name="_Toc234213532"/>
      <w:bookmarkStart w:id="38" w:name="_Toc414956955"/>
      <w:bookmarkStart w:id="39" w:name="_Toc19947"/>
      <w:bookmarkStart w:id="40" w:name="_Toc21696"/>
      <w:bookmarkStart w:id="41" w:name="_Toc244934198"/>
      <w:r>
        <w:rPr>
          <w:rFonts w:hint="eastAsia" w:ascii="宋体" w:hAnsi="宋体" w:eastAsia="宋体" w:cs="宋体"/>
          <w:b/>
          <w:color w:val="auto"/>
          <w:szCs w:val="21"/>
          <w:highlight w:val="none"/>
        </w:rPr>
        <w:t>5. 开标</w:t>
      </w:r>
      <w:bookmarkEnd w:id="35"/>
      <w:bookmarkEnd w:id="36"/>
      <w:bookmarkEnd w:id="37"/>
      <w:bookmarkEnd w:id="38"/>
      <w:bookmarkEnd w:id="39"/>
      <w:bookmarkEnd w:id="40"/>
      <w:bookmarkEnd w:id="41"/>
    </w:p>
    <w:p w14:paraId="03EB97FB">
      <w:pPr>
        <w:spacing w:line="360" w:lineRule="auto"/>
        <w:rPr>
          <w:rFonts w:hint="eastAsia" w:ascii="宋体" w:hAnsi="宋体" w:eastAsia="宋体" w:cs="宋体"/>
          <w:b/>
          <w:color w:val="auto"/>
          <w:szCs w:val="21"/>
          <w:highlight w:val="none"/>
        </w:rPr>
      </w:pPr>
      <w:bookmarkStart w:id="42" w:name="_Toc297211680"/>
      <w:r>
        <w:rPr>
          <w:rFonts w:hint="eastAsia" w:ascii="宋体" w:hAnsi="宋体" w:eastAsia="宋体" w:cs="宋体"/>
          <w:b/>
          <w:color w:val="auto"/>
          <w:szCs w:val="21"/>
          <w:highlight w:val="none"/>
        </w:rPr>
        <w:t>5.1开标时间和地点</w:t>
      </w:r>
      <w:bookmarkEnd w:id="42"/>
    </w:p>
    <w:p w14:paraId="7DDDA045">
      <w:pPr>
        <w:spacing w:line="360" w:lineRule="auto"/>
        <w:ind w:firstLine="399" w:firstLineChars="190"/>
        <w:rPr>
          <w:rFonts w:hint="eastAsia" w:ascii="宋体" w:hAnsi="宋体" w:eastAsia="宋体" w:cs="宋体"/>
          <w:color w:val="auto"/>
          <w:highlight w:val="none"/>
        </w:rPr>
      </w:pPr>
      <w:r>
        <w:rPr>
          <w:rFonts w:hint="eastAsia" w:ascii="宋体" w:hAnsi="宋体" w:eastAsia="宋体" w:cs="宋体"/>
          <w:color w:val="auto"/>
          <w:szCs w:val="21"/>
          <w:highlight w:val="none"/>
        </w:rPr>
        <w:t>5.1.1采购人在本章规定的投标截止时间（开标时间）和投标人须知前附表规定的地点公开开标</w:t>
      </w:r>
      <w:r>
        <w:rPr>
          <w:rFonts w:hint="eastAsia" w:ascii="宋体" w:hAnsi="宋体" w:eastAsia="宋体" w:cs="宋体"/>
          <w:color w:val="auto"/>
          <w:highlight w:val="none"/>
        </w:rPr>
        <w:t>。</w:t>
      </w:r>
    </w:p>
    <w:p w14:paraId="7D7FD66F">
      <w:pPr>
        <w:spacing w:line="360" w:lineRule="auto"/>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5.1.2本项目采用“不见面开标”交易方式，不见面开标大厅网址为</w:t>
      </w:r>
      <w:r>
        <w:rPr>
          <w:rFonts w:hint="eastAsia" w:ascii="宋体" w:hAnsi="宋体" w:eastAsia="宋体" w:cs="宋体"/>
          <w:color w:val="auto"/>
          <w:sz w:val="21"/>
          <w:szCs w:val="21"/>
          <w:highlight w:val="none"/>
          <w:shd w:val="clear" w:color="auto" w:fill="FFFFFF"/>
          <w:lang w:eastAsia="zh-CN"/>
        </w:rPr>
        <w:t>https://ggzyjy.xinyang.gov.cn/BidOpening</w:t>
      </w:r>
      <w:r>
        <w:rPr>
          <w:rFonts w:hint="eastAsia" w:ascii="宋体" w:hAnsi="宋体" w:eastAsia="宋体" w:cs="宋体"/>
          <w:color w:val="auto"/>
          <w:szCs w:val="21"/>
          <w:highlight w:val="none"/>
        </w:rPr>
        <w:t>，投标人（供应商）无需寄送和递交非加密的电子投标文件，无需到现场参加开标会议，无需到达现场提交原件资料。</w:t>
      </w:r>
    </w:p>
    <w:p w14:paraId="1D4FB0F3">
      <w:pPr>
        <w:spacing w:line="360" w:lineRule="auto"/>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投标人应当在投标截止时间前，使用投标人CA数字证书登录不见面开标大厅，在线签到并准时参加开标活动，并在规定时间内完成投标文件解密、答疑澄清等。 </w:t>
      </w:r>
    </w:p>
    <w:p w14:paraId="45697D0A">
      <w:pPr>
        <w:spacing w:line="360" w:lineRule="auto"/>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逾期解密或者没有准时在线参加开标活动导致的一切后果投标人自行承担。 </w:t>
      </w:r>
    </w:p>
    <w:p w14:paraId="57CF4CB5">
      <w:pPr>
        <w:spacing w:line="360" w:lineRule="auto"/>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不见面开标服务的具体事宜，请查阅信阳市公共资源交易中心网站首页—下载中心—信阳市不见面开标大厅系统操作手册 。 </w:t>
      </w:r>
    </w:p>
    <w:p w14:paraId="0B380B31">
      <w:pPr>
        <w:spacing w:line="360" w:lineRule="auto"/>
        <w:ind w:firstLine="401" w:firstLineChars="19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特别提示：投标人在线签到时，应如实准确的填写授权委托人的联系电话，开标当天请务必保证电话保持畅通。</w:t>
      </w:r>
    </w:p>
    <w:p w14:paraId="748372A7">
      <w:pPr>
        <w:spacing w:line="360" w:lineRule="auto"/>
        <w:rPr>
          <w:rFonts w:hint="eastAsia" w:ascii="宋体" w:hAnsi="宋体" w:eastAsia="宋体" w:cs="宋体"/>
          <w:b/>
          <w:color w:val="auto"/>
          <w:szCs w:val="21"/>
          <w:highlight w:val="none"/>
        </w:rPr>
      </w:pPr>
      <w:bookmarkStart w:id="43" w:name="_Toc297211681"/>
      <w:r>
        <w:rPr>
          <w:rFonts w:hint="eastAsia" w:ascii="宋体" w:hAnsi="宋体" w:eastAsia="宋体" w:cs="宋体"/>
          <w:b/>
          <w:color w:val="auto"/>
          <w:szCs w:val="21"/>
          <w:highlight w:val="none"/>
        </w:rPr>
        <w:t>5.2 开标程序</w:t>
      </w:r>
      <w:bookmarkEnd w:id="43"/>
    </w:p>
    <w:p w14:paraId="351E423C">
      <w:pPr>
        <w:spacing w:line="360" w:lineRule="auto"/>
        <w:ind w:firstLine="420" w:firstLineChars="200"/>
        <w:rPr>
          <w:rFonts w:hint="eastAsia" w:ascii="宋体" w:hAnsi="宋体" w:eastAsia="宋体" w:cs="宋体"/>
          <w:color w:val="auto"/>
          <w:szCs w:val="21"/>
          <w:highlight w:val="none"/>
        </w:rPr>
      </w:pPr>
      <w:bookmarkStart w:id="44" w:name="_Toc234213533"/>
      <w:bookmarkStart w:id="45" w:name="_Toc191983620"/>
      <w:bookmarkStart w:id="46" w:name="_Toc244935168"/>
      <w:bookmarkStart w:id="47" w:name="_Toc244934199"/>
      <w:r>
        <w:rPr>
          <w:rFonts w:hint="eastAsia" w:ascii="宋体" w:hAnsi="宋体" w:eastAsia="宋体" w:cs="宋体"/>
          <w:color w:val="auto"/>
          <w:szCs w:val="21"/>
          <w:highlight w:val="none"/>
        </w:rPr>
        <w:t>见投标人须知前附表。</w:t>
      </w:r>
    </w:p>
    <w:p w14:paraId="0381FC6B">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5.3 开标异议</w:t>
      </w:r>
    </w:p>
    <w:p w14:paraId="6D9531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开标过程中，投标人如有异议，须在开标结束前通过系统提出，否则视同认可开标记录。开标结束后，对开标记录的任何异议不在接受。</w:t>
      </w:r>
    </w:p>
    <w:p w14:paraId="371D4F9D">
      <w:pPr>
        <w:keepNext/>
        <w:keepLines/>
        <w:spacing w:line="360" w:lineRule="auto"/>
        <w:outlineLvl w:val="1"/>
        <w:rPr>
          <w:rFonts w:hint="eastAsia" w:ascii="宋体" w:hAnsi="宋体" w:eastAsia="宋体" w:cs="宋体"/>
          <w:b/>
          <w:color w:val="auto"/>
          <w:szCs w:val="21"/>
          <w:highlight w:val="none"/>
        </w:rPr>
      </w:pPr>
      <w:bookmarkStart w:id="48" w:name="_Toc27986"/>
      <w:bookmarkStart w:id="49" w:name="_Toc414956956"/>
      <w:bookmarkStart w:id="50" w:name="_Toc27623"/>
      <w:r>
        <w:rPr>
          <w:rFonts w:hint="eastAsia" w:ascii="宋体" w:hAnsi="宋体" w:eastAsia="宋体" w:cs="宋体"/>
          <w:b/>
          <w:color w:val="auto"/>
          <w:szCs w:val="21"/>
          <w:highlight w:val="none"/>
        </w:rPr>
        <w:t>6. 评标</w:t>
      </w:r>
      <w:bookmarkEnd w:id="44"/>
      <w:bookmarkEnd w:id="45"/>
      <w:bookmarkEnd w:id="46"/>
      <w:bookmarkEnd w:id="47"/>
      <w:bookmarkEnd w:id="48"/>
      <w:bookmarkEnd w:id="49"/>
      <w:bookmarkEnd w:id="50"/>
    </w:p>
    <w:p w14:paraId="639E8D03">
      <w:pPr>
        <w:spacing w:line="360" w:lineRule="auto"/>
        <w:rPr>
          <w:rFonts w:hint="eastAsia" w:ascii="宋体" w:hAnsi="宋体" w:eastAsia="宋体" w:cs="宋体"/>
          <w:b/>
          <w:bCs/>
          <w:color w:val="auto"/>
          <w:szCs w:val="21"/>
          <w:highlight w:val="none"/>
        </w:rPr>
      </w:pPr>
      <w:bookmarkStart w:id="51" w:name="_Toc191983621"/>
      <w:bookmarkStart w:id="52" w:name="_Toc244935169"/>
      <w:bookmarkStart w:id="53" w:name="_Toc234213534"/>
      <w:bookmarkStart w:id="54" w:name="_Toc244934200"/>
      <w:r>
        <w:rPr>
          <w:rFonts w:hint="eastAsia" w:ascii="宋体" w:hAnsi="宋体" w:eastAsia="宋体" w:cs="宋体"/>
          <w:b/>
          <w:bCs/>
          <w:color w:val="auto"/>
          <w:szCs w:val="21"/>
          <w:highlight w:val="none"/>
        </w:rPr>
        <w:t>6.1评标委员会</w:t>
      </w:r>
    </w:p>
    <w:p w14:paraId="4C388B45">
      <w:pPr>
        <w:spacing w:line="360" w:lineRule="auto"/>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评标由采购人依法组建的评标委员会负责。评标委员会由采购人熟悉相关业务的代表，以及有关技术、经济等方面的专家组成。评标委员会成员人数以及技术、经济等方面专家的确定方式见投标人须知前附表。</w:t>
      </w:r>
    </w:p>
    <w:p w14:paraId="0FB33EB7">
      <w:pPr>
        <w:spacing w:line="360" w:lineRule="auto"/>
        <w:ind w:firstLine="399" w:firstLineChars="19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  评标委员会成员有下列情形之一的，应当回避：</w:t>
      </w:r>
    </w:p>
    <w:p w14:paraId="402116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（1）投标人或投标人主要负责人的近亲属；</w:t>
      </w:r>
    </w:p>
    <w:p w14:paraId="1521D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（2）项目主管部门或者行政监督部门的人员；</w:t>
      </w:r>
    </w:p>
    <w:p w14:paraId="08016D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（3）与投标人有经济利益关系，可能影响对投标公正评审的；</w:t>
      </w:r>
    </w:p>
    <w:p w14:paraId="7CCE6A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（4）曾因在招标、评标以及其他与招标投标有关活动中从事违法行为而受过行政处罚或刑事处罚的；</w:t>
      </w:r>
    </w:p>
    <w:p w14:paraId="2BF05C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（5）与投标人有其他利害关系。</w:t>
      </w:r>
    </w:p>
    <w:p w14:paraId="4B61CD1C">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6.2 评标原则</w:t>
      </w:r>
    </w:p>
    <w:p w14:paraId="449CCB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评标活动遵循公平、公正、科学和择优的原则。</w:t>
      </w:r>
    </w:p>
    <w:p w14:paraId="7AF0B804">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6.3 评标过程的保密</w:t>
      </w:r>
    </w:p>
    <w:p w14:paraId="563635D2">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公开开标后，直到授予中标人合同为止，凡属于对投标文件的审查、澄清、评价和比较的有关资料以及中标候选人的推荐情况、与评标有关的其他任何情况均应严格保密。</w:t>
      </w:r>
    </w:p>
    <w:p w14:paraId="0A143F89">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6.4  评标</w:t>
      </w:r>
    </w:p>
    <w:p w14:paraId="0DB046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评标委员会按照第三章“评标办法”规定的方法和程序对投标文件进行评审。第三章“评标办法”没有规定的方法和标准，不作为评标依据。</w:t>
      </w:r>
      <w:bookmarkEnd w:id="51"/>
      <w:bookmarkEnd w:id="52"/>
      <w:bookmarkEnd w:id="53"/>
      <w:bookmarkEnd w:id="54"/>
      <w:bookmarkStart w:id="55" w:name="_Toc184635077"/>
      <w:bookmarkStart w:id="56" w:name="_Toc414956957"/>
    </w:p>
    <w:p w14:paraId="40F62CE9">
      <w:pPr>
        <w:keepNext/>
        <w:keepLines/>
        <w:spacing w:line="360" w:lineRule="auto"/>
        <w:outlineLvl w:val="1"/>
        <w:rPr>
          <w:rFonts w:hint="eastAsia" w:ascii="宋体" w:hAnsi="宋体" w:eastAsia="宋体" w:cs="宋体"/>
          <w:b/>
          <w:color w:val="auto"/>
          <w:szCs w:val="21"/>
          <w:highlight w:val="none"/>
        </w:rPr>
      </w:pPr>
      <w:bookmarkStart w:id="57" w:name="_Toc64"/>
      <w:bookmarkStart w:id="58" w:name="_Toc8566"/>
      <w:r>
        <w:rPr>
          <w:rFonts w:hint="eastAsia" w:ascii="宋体" w:hAnsi="宋体" w:eastAsia="宋体" w:cs="宋体"/>
          <w:b/>
          <w:color w:val="auto"/>
          <w:szCs w:val="21"/>
          <w:highlight w:val="none"/>
        </w:rPr>
        <w:t>7．合同授予</w:t>
      </w:r>
      <w:bookmarkEnd w:id="55"/>
      <w:bookmarkEnd w:id="56"/>
      <w:bookmarkEnd w:id="57"/>
      <w:bookmarkEnd w:id="58"/>
    </w:p>
    <w:p w14:paraId="5F138BA6">
      <w:pPr>
        <w:spacing w:line="360" w:lineRule="auto"/>
        <w:rPr>
          <w:rFonts w:hint="eastAsia" w:ascii="宋体" w:hAnsi="宋体" w:eastAsia="宋体" w:cs="宋体"/>
          <w:b/>
          <w:color w:val="auto"/>
          <w:szCs w:val="21"/>
          <w:highlight w:val="none"/>
        </w:rPr>
      </w:pPr>
      <w:bookmarkStart w:id="59" w:name="_Toc152045581"/>
      <w:bookmarkStart w:id="60" w:name="_Toc144974548"/>
      <w:bookmarkStart w:id="61" w:name="_Toc247514005"/>
      <w:bookmarkStart w:id="62" w:name="_Toc247527606"/>
      <w:bookmarkStart w:id="63" w:name="_Toc152042358"/>
      <w:r>
        <w:rPr>
          <w:rFonts w:hint="eastAsia" w:ascii="宋体" w:hAnsi="宋体" w:eastAsia="宋体" w:cs="宋体"/>
          <w:b/>
          <w:color w:val="auto"/>
          <w:szCs w:val="21"/>
          <w:highlight w:val="none"/>
        </w:rPr>
        <w:t>7.1 定标方式</w:t>
      </w:r>
    </w:p>
    <w:p w14:paraId="68820F6B">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采购人依据评标委员会推荐的中标候选人确定中标人，评标委员会推荐中标候选人的人数见投标人须知前附表。采购人将根据评审委员会推荐的名单，确定排名第一的投标人为中标人。如果排名第一的中标候选人放弃中标或因不可抗力提出不能履行合同，采购人将选择排名第二的投标人为中标人，依此类推。如中标候选人均放弃中标资格时，采购人将重新进行招标。</w:t>
      </w:r>
    </w:p>
    <w:p w14:paraId="6804F36B">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评标委员会经评审，认为所有投标均不符合招标文件要求的，可以否决所有投标，所有投标被否决后，采购人当重新招标。</w:t>
      </w:r>
    </w:p>
    <w:p w14:paraId="039EEFB2">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7.2 中标通知</w:t>
      </w:r>
    </w:p>
    <w:p w14:paraId="4A02AE5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在本章第3.3款规定的投标有效期内，采购人以书面形式向中标人发出中标通知书。</w:t>
      </w:r>
    </w:p>
    <w:p w14:paraId="4D872E43">
      <w:pPr>
        <w:spacing w:line="360" w:lineRule="auto"/>
        <w:rPr>
          <w:rFonts w:hint="eastAsia" w:ascii="宋体" w:hAnsi="宋体" w:eastAsia="宋体" w:cs="宋体"/>
          <w:color w:val="auto"/>
          <w:szCs w:val="21"/>
          <w:highlight w:val="none"/>
          <w:lang w:val="en-US" w:eastAsia="zh-CN"/>
        </w:rPr>
      </w:pPr>
      <w:bookmarkStart w:id="64" w:name="_Toc278027739"/>
      <w:bookmarkStart w:id="65" w:name="_Toc184635079"/>
      <w:r>
        <w:rPr>
          <w:rFonts w:hint="eastAsia" w:ascii="宋体" w:hAnsi="宋体" w:eastAsia="宋体" w:cs="宋体"/>
          <w:b/>
          <w:color w:val="auto"/>
          <w:szCs w:val="21"/>
          <w:highlight w:val="none"/>
        </w:rPr>
        <w:t>7.3</w:t>
      </w:r>
      <w:r>
        <w:rPr>
          <w:rFonts w:hint="eastAsia" w:ascii="宋体" w:hAnsi="宋体" w:eastAsia="宋体" w:cs="宋体"/>
          <w:b/>
          <w:color w:val="auto"/>
          <w:szCs w:val="21"/>
          <w:highlight w:val="none"/>
          <w:lang w:eastAsia="zh-CN"/>
        </w:rPr>
        <w:t>违约责任金</w:t>
      </w:r>
    </w:p>
    <w:p w14:paraId="2C074BC5">
      <w:pPr>
        <w:spacing w:line="360" w:lineRule="auto"/>
        <w:ind w:left="0" w:leftChars="0"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不收取</w:t>
      </w:r>
    </w:p>
    <w:p w14:paraId="091BEDA0">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7.4签订合同</w:t>
      </w:r>
    </w:p>
    <w:p w14:paraId="5E88EEB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7.4.1 采购人和中标人应当自中标通知书发出之日起</w:t>
      </w:r>
      <w:r>
        <w:rPr>
          <w:rFonts w:hint="eastAsia" w:ascii="宋体" w:hAnsi="宋体" w:eastAsia="宋体" w:cs="宋体"/>
          <w:bCs/>
          <w:color w:val="auto"/>
          <w:szCs w:val="21"/>
          <w:highlight w:val="none"/>
          <w:lang w:val="en-US" w:eastAsia="zh-CN"/>
        </w:rPr>
        <w:t>15</w:t>
      </w:r>
      <w:r>
        <w:rPr>
          <w:rFonts w:hint="eastAsia" w:ascii="宋体" w:hAnsi="宋体" w:eastAsia="宋体" w:cs="宋体"/>
          <w:bCs/>
          <w:color w:val="auto"/>
          <w:szCs w:val="21"/>
          <w:highlight w:val="none"/>
        </w:rPr>
        <w:t>天内，根据招标文件和中标人的投标文件订立书面合同。中标人无正当理由拒签合同的，采购人取消其中标资格，给采购人造成的损失，中标人还应当对超过部分予以赔偿。</w:t>
      </w:r>
    </w:p>
    <w:p w14:paraId="0265216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7.4.2 发出中标通知书后，采购人无正当理由拒签合同的，给中标人造成损失的，还应当赔偿损失。</w:t>
      </w:r>
    </w:p>
    <w:p w14:paraId="28BE41DB">
      <w:pPr>
        <w:keepNext/>
        <w:keepLines/>
        <w:spacing w:line="360" w:lineRule="auto"/>
        <w:outlineLvl w:val="1"/>
        <w:rPr>
          <w:rFonts w:hint="eastAsia" w:ascii="宋体" w:hAnsi="宋体" w:eastAsia="宋体" w:cs="宋体"/>
          <w:b/>
          <w:color w:val="auto"/>
          <w:szCs w:val="21"/>
          <w:highlight w:val="none"/>
        </w:rPr>
      </w:pPr>
      <w:bookmarkStart w:id="66" w:name="_Toc4727"/>
      <w:bookmarkStart w:id="67" w:name="_Toc15038"/>
      <w:bookmarkStart w:id="68" w:name="_Toc31157"/>
      <w:r>
        <w:rPr>
          <w:rFonts w:hint="eastAsia" w:ascii="宋体" w:hAnsi="宋体" w:eastAsia="宋体" w:cs="宋体"/>
          <w:b/>
          <w:color w:val="auto"/>
          <w:szCs w:val="21"/>
          <w:highlight w:val="none"/>
        </w:rPr>
        <w:t>8.重新招标和不再招标</w:t>
      </w:r>
      <w:bookmarkEnd w:id="64"/>
      <w:bookmarkEnd w:id="66"/>
      <w:bookmarkEnd w:id="67"/>
      <w:bookmarkEnd w:id="68"/>
    </w:p>
    <w:p w14:paraId="365E4B7D">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8.1重新招标 </w:t>
      </w:r>
    </w:p>
    <w:p w14:paraId="77C8B79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有下列情形之一的，采购人将重新招标：</w:t>
      </w:r>
    </w:p>
    <w:p w14:paraId="145C5B2C">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（1）投标截止时间止，投标人少于3个的；</w:t>
      </w:r>
    </w:p>
    <w:p w14:paraId="3998D5B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（2）经评标委员会评审后否决所有投标的。</w:t>
      </w:r>
    </w:p>
    <w:p w14:paraId="4B18E676">
      <w:pPr>
        <w:widowControl/>
        <w:spacing w:line="360" w:lineRule="auto"/>
        <w:ind w:firstLine="103" w:firstLineChars="49"/>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8.2不再招标</w:t>
      </w:r>
    </w:p>
    <w:p w14:paraId="6E415FC6">
      <w:pPr>
        <w:widowControl/>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重新招标后投标人仍少于3个或者所有投标被否决的，属于必须审批或核准的项目，经原审批或核准部门批准后不再进行招标。</w:t>
      </w:r>
    </w:p>
    <w:bookmarkEnd w:id="65"/>
    <w:p w14:paraId="057DA6A6">
      <w:pPr>
        <w:keepNext/>
        <w:keepLines/>
        <w:spacing w:line="360" w:lineRule="auto"/>
        <w:outlineLvl w:val="1"/>
        <w:rPr>
          <w:rFonts w:hint="eastAsia" w:ascii="宋体" w:hAnsi="宋体" w:eastAsia="宋体" w:cs="宋体"/>
          <w:b/>
          <w:color w:val="auto"/>
          <w:szCs w:val="21"/>
          <w:highlight w:val="none"/>
        </w:rPr>
      </w:pPr>
      <w:bookmarkStart w:id="69" w:name="_Toc6142"/>
      <w:bookmarkStart w:id="70" w:name="_Toc31870"/>
      <w:bookmarkStart w:id="71" w:name="_Toc278027740"/>
      <w:bookmarkStart w:id="72" w:name="_Toc20456"/>
      <w:bookmarkStart w:id="73" w:name="_Toc184635080"/>
      <w:r>
        <w:rPr>
          <w:rFonts w:hint="eastAsia" w:ascii="宋体" w:hAnsi="宋体" w:eastAsia="宋体" w:cs="宋体"/>
          <w:b/>
          <w:color w:val="auto"/>
          <w:szCs w:val="21"/>
          <w:highlight w:val="none"/>
        </w:rPr>
        <w:t>9.纪律和监督</w:t>
      </w:r>
      <w:bookmarkEnd w:id="69"/>
      <w:bookmarkEnd w:id="70"/>
      <w:bookmarkEnd w:id="71"/>
      <w:bookmarkEnd w:id="72"/>
    </w:p>
    <w:p w14:paraId="5539C0EA">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9.1对采购人的纪律要求</w:t>
      </w:r>
    </w:p>
    <w:p w14:paraId="37FBD8C8">
      <w:pPr>
        <w:widowControl/>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采购人不得泄漏招标投标活动中应当保密的情况和资料，不得与投标人串通损害国家利益、社会公共利益或者他人合法权益。</w:t>
      </w:r>
    </w:p>
    <w:p w14:paraId="680C65E3">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9.2对投标人的纪律要求</w:t>
      </w:r>
    </w:p>
    <w:p w14:paraId="5C80BF15">
      <w:pPr>
        <w:widowControl/>
        <w:spacing w:line="360" w:lineRule="auto"/>
        <w:jc w:val="left"/>
        <w:rPr>
          <w:rFonts w:hint="eastAsia" w:ascii="宋体" w:hAnsi="宋体" w:eastAsia="宋体" w:cs="宋体"/>
          <w:bCs/>
          <w:color w:val="auto"/>
          <w:spacing w:val="-3"/>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pacing w:val="-3"/>
          <w:szCs w:val="21"/>
          <w:highlight w:val="none"/>
        </w:rPr>
        <w:t xml:space="preserve"> 投标人不得相互串通投标或者与采购人串通投标，不得向采购人或者评标委员会成员行贿谋取中标，不得以他人名义投标或者以其他方式弄虚作假骗取中标；投标人不得以任何方式干扰、影响评标工作。</w:t>
      </w:r>
    </w:p>
    <w:p w14:paraId="640348DF">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9.3对评标委员会成员的纪律要求</w:t>
      </w:r>
    </w:p>
    <w:p w14:paraId="112084EF">
      <w:pPr>
        <w:widowControl/>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7CC6A0F">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9.4对与评标活动有关的工作人员的纪律要求</w:t>
      </w:r>
    </w:p>
    <w:p w14:paraId="5B4CB918">
      <w:pPr>
        <w:widowControl/>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B6E45D0">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9.5投诉、质疑、处罚</w:t>
      </w:r>
    </w:p>
    <w:p w14:paraId="6B58325D">
      <w:pPr>
        <w:widowControl/>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9.5.1采购人的监督部门在招标过程中有履行全程监督的权力。</w:t>
      </w:r>
    </w:p>
    <w:p w14:paraId="07D3C755">
      <w:pPr>
        <w:widowControl/>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9.5.2采购人在招标过程中，因获知或可能获知监督举报（或其他方式）招标程序或其它内容存在问题，采购人有权采取相应的监督措施，投标人应予以配合。</w:t>
      </w:r>
    </w:p>
    <w:p w14:paraId="792F97BB">
      <w:pPr>
        <w:widowControl/>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9.5.3投标人和其他利害关系人认为本次招标活动违反法律、法规和规章规定的，有权向有关行政监督部门投诉。</w:t>
      </w:r>
    </w:p>
    <w:p w14:paraId="54FFA1CE">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9.6中标人确定后，采购人不对未中标人就评标过程以及未能中标原因作出任何解释。未中标人不得向评标委员会组成人员或其他有关人索问评标过程的情况和材料。</w:t>
      </w:r>
    </w:p>
    <w:p w14:paraId="0BD9EC8F">
      <w:pPr>
        <w:keepNext/>
        <w:keepLines/>
        <w:spacing w:line="360" w:lineRule="auto"/>
        <w:outlineLvl w:val="1"/>
        <w:rPr>
          <w:rFonts w:hint="eastAsia" w:ascii="宋体" w:hAnsi="宋体" w:eastAsia="宋体" w:cs="宋体"/>
          <w:b/>
          <w:color w:val="auto"/>
          <w:szCs w:val="21"/>
          <w:highlight w:val="none"/>
        </w:rPr>
      </w:pPr>
      <w:bookmarkStart w:id="74" w:name="_Toc14764"/>
      <w:bookmarkStart w:id="75" w:name="_Toc16124"/>
      <w:bookmarkStart w:id="76" w:name="_Toc5400"/>
      <w:r>
        <w:rPr>
          <w:rFonts w:hint="eastAsia" w:ascii="宋体" w:hAnsi="宋体" w:eastAsia="宋体" w:cs="宋体"/>
          <w:b/>
          <w:color w:val="auto"/>
          <w:szCs w:val="21"/>
          <w:highlight w:val="none"/>
        </w:rPr>
        <w:t>10.注意事项</w:t>
      </w:r>
      <w:bookmarkEnd w:id="74"/>
      <w:bookmarkEnd w:id="75"/>
      <w:bookmarkEnd w:id="76"/>
    </w:p>
    <w:bookmarkEnd w:id="73"/>
    <w:p w14:paraId="21B5EEDE">
      <w:pPr>
        <w:widowControl/>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10.1采购人所提供的文字和任何其他形式的跟本次项目相关的补充说明，均为采购人的单方面意见，如投标人接受并由此所带来的后果，由投标人承担，采购人不负有任何责任。</w:t>
      </w:r>
    </w:p>
    <w:p w14:paraId="1098F455">
      <w:pPr>
        <w:widowControl/>
        <w:spacing w:line="360" w:lineRule="auto"/>
        <w:ind w:firstLine="315" w:firstLineChars="15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10.2投标人应对照本招标技术文件各项技术要求做出实质性的响应，否则投标人的投标有可能被拒绝。</w:t>
      </w:r>
    </w:p>
    <w:p w14:paraId="72AA8EB4">
      <w:pPr>
        <w:widowControl/>
        <w:spacing w:line="360" w:lineRule="auto"/>
        <w:ind w:firstLine="315" w:firstLineChars="15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10.3本招标文件的要求只是最低限度要求，并未对一切技术细节做出规定。在本招标文件中未提到的或投标人认为更能体现和满足采购人的实际需要的功能和要求，投标人可依据自己的实际经验，在投标人方案中体现。</w:t>
      </w:r>
    </w:p>
    <w:p w14:paraId="3648D581">
      <w:pPr>
        <w:widowControl/>
        <w:spacing w:line="360" w:lineRule="auto"/>
        <w:ind w:firstLine="315" w:firstLineChars="15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10.4本招标技术文件未尽事宜，由甲乙双方在合同技术谈判时协商确定。</w:t>
      </w:r>
    </w:p>
    <w:p w14:paraId="5B656297">
      <w:pPr>
        <w:widowControl/>
        <w:spacing w:line="360" w:lineRule="auto"/>
        <w:ind w:firstLine="315" w:firstLineChars="15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保密和保证</w:t>
      </w:r>
    </w:p>
    <w:p w14:paraId="3343AFB5">
      <w:pPr>
        <w:widowControl/>
        <w:spacing w:line="360" w:lineRule="auto"/>
        <w:ind w:firstLine="315" w:firstLineChars="15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(1)参与招标投标活动的各方应对招标文件和投标文件中的商业和技术等秘密保密，违者应对由此造成的后果承担法律责任。</w:t>
      </w:r>
    </w:p>
    <w:p w14:paraId="2E5D2774">
      <w:pPr>
        <w:widowControl/>
        <w:spacing w:line="360" w:lineRule="auto"/>
        <w:ind w:firstLine="315" w:firstLineChars="15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(2)投标人应保证在投标文件中所提交的资料和数据是真实的。</w:t>
      </w:r>
    </w:p>
    <w:p w14:paraId="5F158CD8">
      <w:pPr>
        <w:widowControl/>
        <w:spacing w:line="360" w:lineRule="auto"/>
        <w:ind w:firstLine="315" w:firstLineChars="15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(3)本项目不接受联合体投标，中标人应当按照合同约定履行义务，完成中标项目。中标人不得向他人转让中标项目，也不得将中标项目肢解后分别向他人转让。否则，取消其中标资格，并追究其违约责任。</w:t>
      </w:r>
    </w:p>
    <w:p w14:paraId="7CA6CFA9">
      <w:pPr>
        <w:keepNext/>
        <w:keepLines/>
        <w:spacing w:line="360" w:lineRule="auto"/>
        <w:outlineLvl w:val="1"/>
        <w:rPr>
          <w:rFonts w:hint="eastAsia" w:ascii="宋体" w:hAnsi="宋体" w:eastAsia="宋体" w:cs="宋体"/>
          <w:b/>
          <w:color w:val="auto"/>
          <w:szCs w:val="21"/>
          <w:highlight w:val="none"/>
        </w:rPr>
      </w:pPr>
      <w:bookmarkStart w:id="77" w:name="_Toc7222"/>
      <w:bookmarkStart w:id="78" w:name="_Toc23477"/>
      <w:bookmarkStart w:id="79" w:name="_Toc28202"/>
      <w:r>
        <w:rPr>
          <w:rFonts w:hint="eastAsia" w:ascii="宋体" w:hAnsi="宋体" w:eastAsia="宋体" w:cs="宋体"/>
          <w:b/>
          <w:color w:val="auto"/>
          <w:szCs w:val="21"/>
          <w:highlight w:val="none"/>
        </w:rPr>
        <w:t>11.需要补充的其他内容</w:t>
      </w:r>
      <w:bookmarkEnd w:id="77"/>
      <w:bookmarkEnd w:id="78"/>
      <w:bookmarkEnd w:id="79"/>
    </w:p>
    <w:p w14:paraId="1A05D368">
      <w:pPr>
        <w:pStyle w:val="3"/>
        <w:spacing w:line="360" w:lineRule="auto"/>
        <w:ind w:firstLine="420" w:firstLineChars="200"/>
        <w:rPr>
          <w:rFonts w:hint="eastAsia" w:ascii="宋体" w:hAnsi="宋体" w:eastAsia="宋体" w:cs="宋体"/>
          <w:b w:val="0"/>
          <w:color w:val="auto"/>
          <w:sz w:val="21"/>
          <w:szCs w:val="21"/>
          <w:highlight w:val="none"/>
        </w:rPr>
      </w:pPr>
      <w:bookmarkStart w:id="80" w:name="_Toc17793"/>
      <w:bookmarkStart w:id="81" w:name="_Toc10828"/>
      <w:r>
        <w:rPr>
          <w:rFonts w:hint="eastAsia" w:ascii="宋体" w:hAnsi="宋体" w:eastAsia="宋体" w:cs="宋体"/>
          <w:b w:val="0"/>
          <w:color w:val="auto"/>
          <w:sz w:val="21"/>
          <w:szCs w:val="21"/>
          <w:highlight w:val="none"/>
        </w:rPr>
        <w:t>11.1采购人不承诺最低价中标，而且采购人没有义务解释说明未中标原因。</w:t>
      </w:r>
      <w:bookmarkEnd w:id="80"/>
      <w:bookmarkEnd w:id="81"/>
    </w:p>
    <w:p w14:paraId="6112AC9C">
      <w:pPr>
        <w:widowControl/>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11.2其它未尽事宜，按国家有关法律、法规执行。</w:t>
      </w:r>
    </w:p>
    <w:p w14:paraId="3A075CF9">
      <w:pPr>
        <w:widowControl/>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11.3本招标文件解释权归</w:t>
      </w:r>
      <w:r>
        <w:rPr>
          <w:rFonts w:hint="eastAsia" w:ascii="宋体" w:hAnsi="宋体" w:cs="宋体"/>
          <w:bCs/>
          <w:color w:val="auto"/>
          <w:szCs w:val="21"/>
          <w:highlight w:val="none"/>
          <w:lang w:eastAsia="zh-CN"/>
        </w:rPr>
        <w:t>信阳市生态环境局直属二分局</w:t>
      </w:r>
      <w:r>
        <w:rPr>
          <w:rFonts w:hint="eastAsia" w:ascii="宋体" w:hAnsi="宋体" w:eastAsia="宋体" w:cs="宋体"/>
          <w:bCs/>
          <w:color w:val="auto"/>
          <w:szCs w:val="21"/>
          <w:highlight w:val="none"/>
        </w:rPr>
        <w:t>。</w:t>
      </w:r>
    </w:p>
    <w:p w14:paraId="485D7BED">
      <w:pPr>
        <w:widowControl/>
        <w:spacing w:line="360" w:lineRule="auto"/>
        <w:ind w:firstLine="420" w:firstLineChars="200"/>
        <w:jc w:val="left"/>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rPr>
        <w:br w:type="page"/>
      </w:r>
      <w:bookmarkEnd w:id="59"/>
      <w:bookmarkEnd w:id="60"/>
      <w:bookmarkEnd w:id="61"/>
      <w:bookmarkEnd w:id="62"/>
      <w:bookmarkEnd w:id="63"/>
      <w:bookmarkStart w:id="82" w:name="_Toc247514006"/>
      <w:bookmarkStart w:id="83" w:name="_Toc144974549"/>
      <w:bookmarkStart w:id="84" w:name="_Toc247527607"/>
      <w:bookmarkStart w:id="85" w:name="_Toc152045582"/>
      <w:bookmarkStart w:id="86" w:name="_Toc152042359"/>
      <w:r>
        <w:rPr>
          <w:rFonts w:hint="eastAsia" w:ascii="宋体" w:hAnsi="宋体" w:eastAsia="宋体" w:cs="宋体"/>
          <w:color w:val="auto"/>
          <w:sz w:val="28"/>
          <w:szCs w:val="28"/>
          <w:highlight w:val="none"/>
        </w:rPr>
        <w:t>附件一：问题澄清通知</w:t>
      </w:r>
      <w:bookmarkEnd w:id="82"/>
      <w:bookmarkEnd w:id="83"/>
      <w:bookmarkEnd w:id="84"/>
      <w:bookmarkEnd w:id="85"/>
      <w:bookmarkEnd w:id="86"/>
    </w:p>
    <w:p w14:paraId="3786D61E">
      <w:pPr>
        <w:spacing w:line="440" w:lineRule="exact"/>
        <w:jc w:val="center"/>
        <w:rPr>
          <w:rFonts w:hint="eastAsia" w:ascii="宋体" w:hAnsi="宋体" w:eastAsia="宋体" w:cs="宋体"/>
          <w:color w:val="auto"/>
          <w:szCs w:val="21"/>
          <w:highlight w:val="none"/>
        </w:rPr>
      </w:pPr>
    </w:p>
    <w:p w14:paraId="25B7D4EA">
      <w:pPr>
        <w:spacing w:line="4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问题澄清通知</w:t>
      </w:r>
    </w:p>
    <w:p w14:paraId="20268B2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编号：</w:t>
      </w:r>
    </w:p>
    <w:p w14:paraId="09B4BF3F">
      <w:pPr>
        <w:spacing w:line="440" w:lineRule="exact"/>
        <w:rPr>
          <w:rFonts w:hint="eastAsia" w:ascii="宋体" w:hAnsi="宋体" w:eastAsia="宋体" w:cs="宋体"/>
          <w:color w:val="auto"/>
          <w:szCs w:val="21"/>
          <w:highlight w:val="none"/>
        </w:rPr>
      </w:pPr>
    </w:p>
    <w:p w14:paraId="78B9DE9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w:t>
      </w:r>
    </w:p>
    <w:p w14:paraId="71FBF09F">
      <w:pPr>
        <w:spacing w:line="440" w:lineRule="exact"/>
        <w:rPr>
          <w:rFonts w:hint="eastAsia" w:ascii="宋体" w:hAnsi="宋体" w:eastAsia="宋体" w:cs="宋体"/>
          <w:color w:val="auto"/>
          <w:szCs w:val="21"/>
          <w:highlight w:val="none"/>
        </w:rPr>
      </w:pPr>
    </w:p>
    <w:p w14:paraId="2E7D25B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（项目名称）的评标委员会，对你方的投标文件进行了仔细的审查，现需你方对下列问题以书面形式予以澄清：</w:t>
      </w:r>
    </w:p>
    <w:p w14:paraId="28D1390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188B6CB0">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w:t>
      </w:r>
    </w:p>
    <w:p w14:paraId="4930B1A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w:t>
      </w:r>
    </w:p>
    <w:p w14:paraId="66B4A873">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   </w:t>
      </w:r>
    </w:p>
    <w:p w14:paraId="4CB227A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2F609DE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5242D619">
      <w:pPr>
        <w:spacing w:line="440" w:lineRule="exact"/>
        <w:rPr>
          <w:rFonts w:hint="eastAsia" w:ascii="宋体" w:hAnsi="宋体" w:eastAsia="宋体" w:cs="宋体"/>
          <w:color w:val="auto"/>
          <w:szCs w:val="21"/>
          <w:highlight w:val="none"/>
        </w:rPr>
      </w:pPr>
    </w:p>
    <w:p w14:paraId="2A0A9B14">
      <w:pPr>
        <w:spacing w:line="440" w:lineRule="exact"/>
        <w:rPr>
          <w:rFonts w:hint="eastAsia" w:ascii="宋体" w:hAnsi="宋体" w:eastAsia="宋体" w:cs="宋体"/>
          <w:color w:val="auto"/>
          <w:szCs w:val="21"/>
          <w:highlight w:val="none"/>
        </w:rPr>
      </w:pPr>
    </w:p>
    <w:p w14:paraId="1D5A9B2D">
      <w:pPr>
        <w:spacing w:line="440" w:lineRule="exact"/>
        <w:rPr>
          <w:rFonts w:hint="eastAsia" w:ascii="宋体" w:hAnsi="宋体" w:eastAsia="宋体" w:cs="宋体"/>
          <w:color w:val="auto"/>
          <w:szCs w:val="21"/>
          <w:highlight w:val="none"/>
        </w:rPr>
      </w:pPr>
    </w:p>
    <w:p w14:paraId="3C6EAAB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（项目名称）评标委员会                                          </w:t>
      </w:r>
    </w:p>
    <w:p w14:paraId="3A6E201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40A1558">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6AD62DD">
      <w:pPr>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87" w:name="_Toc152042360"/>
      <w:bookmarkStart w:id="88" w:name="_Toc152045583"/>
      <w:bookmarkStart w:id="89" w:name="_Toc247527608"/>
      <w:bookmarkStart w:id="90" w:name="_Toc144974550"/>
      <w:bookmarkStart w:id="91" w:name="_Toc247514007"/>
      <w:r>
        <w:rPr>
          <w:rFonts w:hint="eastAsia" w:ascii="宋体" w:hAnsi="宋体" w:eastAsia="宋体" w:cs="宋体"/>
          <w:color w:val="auto"/>
          <w:sz w:val="28"/>
          <w:szCs w:val="28"/>
          <w:highlight w:val="none"/>
        </w:rPr>
        <w:t>附件二：问题的澄清</w:t>
      </w:r>
      <w:bookmarkEnd w:id="87"/>
      <w:bookmarkEnd w:id="88"/>
      <w:bookmarkEnd w:id="89"/>
      <w:bookmarkEnd w:id="90"/>
      <w:bookmarkEnd w:id="91"/>
    </w:p>
    <w:p w14:paraId="152324D2">
      <w:pPr>
        <w:spacing w:line="400" w:lineRule="exact"/>
        <w:jc w:val="center"/>
        <w:rPr>
          <w:rFonts w:hint="eastAsia" w:ascii="宋体" w:hAnsi="宋体" w:eastAsia="宋体" w:cs="宋体"/>
          <w:color w:val="auto"/>
          <w:sz w:val="28"/>
          <w:szCs w:val="28"/>
          <w:highlight w:val="none"/>
        </w:rPr>
      </w:pPr>
    </w:p>
    <w:p w14:paraId="3DB5D629">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问题的澄清</w:t>
      </w:r>
    </w:p>
    <w:p w14:paraId="2C7953A7">
      <w:pPr>
        <w:spacing w:line="400" w:lineRule="exact"/>
        <w:ind w:firstLine="3465" w:firstLineChars="1650"/>
        <w:rPr>
          <w:rFonts w:hint="eastAsia" w:ascii="宋体" w:hAnsi="宋体" w:eastAsia="宋体" w:cs="宋体"/>
          <w:color w:val="auto"/>
          <w:highlight w:val="none"/>
        </w:rPr>
      </w:pPr>
      <w:r>
        <w:rPr>
          <w:rFonts w:hint="eastAsia" w:ascii="宋体" w:hAnsi="宋体" w:eastAsia="宋体" w:cs="宋体"/>
          <w:color w:val="auto"/>
          <w:highlight w:val="none"/>
        </w:rPr>
        <w:t xml:space="preserve">编号： </w:t>
      </w:r>
    </w:p>
    <w:p w14:paraId="248519AF">
      <w:pPr>
        <w:spacing w:line="400" w:lineRule="exact"/>
        <w:rPr>
          <w:rFonts w:hint="eastAsia" w:ascii="宋体" w:hAnsi="宋体" w:eastAsia="宋体" w:cs="宋体"/>
          <w:color w:val="auto"/>
          <w:szCs w:val="21"/>
          <w:highlight w:val="none"/>
        </w:rPr>
      </w:pPr>
    </w:p>
    <w:p w14:paraId="0F162F30">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（项目名称）评标委员会：</w:t>
      </w:r>
    </w:p>
    <w:p w14:paraId="6A32A5DE">
      <w:pPr>
        <w:spacing w:line="440" w:lineRule="exact"/>
        <w:rPr>
          <w:rFonts w:hint="eastAsia" w:ascii="宋体" w:hAnsi="宋体" w:eastAsia="宋体" w:cs="宋体"/>
          <w:color w:val="auto"/>
          <w:szCs w:val="21"/>
          <w:highlight w:val="none"/>
        </w:rPr>
      </w:pPr>
    </w:p>
    <w:p w14:paraId="79E5559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问题澄清通知（编号：</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）已收悉，现澄清如下：</w:t>
      </w:r>
    </w:p>
    <w:p w14:paraId="17160DD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1.</w:t>
      </w:r>
    </w:p>
    <w:p w14:paraId="161C877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2.</w:t>
      </w:r>
    </w:p>
    <w:p w14:paraId="7FA0C08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1E853B0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8B3A41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99DCEDC">
      <w:pPr>
        <w:spacing w:line="440" w:lineRule="exact"/>
        <w:rPr>
          <w:rFonts w:hint="eastAsia" w:ascii="宋体" w:hAnsi="宋体" w:eastAsia="宋体" w:cs="宋体"/>
          <w:color w:val="auto"/>
          <w:szCs w:val="21"/>
          <w:highlight w:val="none"/>
        </w:rPr>
      </w:pPr>
    </w:p>
    <w:p w14:paraId="1760B5CB">
      <w:pPr>
        <w:spacing w:line="440" w:lineRule="exact"/>
        <w:rPr>
          <w:rFonts w:hint="eastAsia" w:ascii="宋体" w:hAnsi="宋体" w:eastAsia="宋体" w:cs="宋体"/>
          <w:color w:val="auto"/>
          <w:szCs w:val="21"/>
          <w:highlight w:val="none"/>
        </w:rPr>
      </w:pPr>
    </w:p>
    <w:p w14:paraId="46506608">
      <w:pPr>
        <w:spacing w:line="440" w:lineRule="exact"/>
        <w:rPr>
          <w:rFonts w:hint="eastAsia" w:ascii="宋体" w:hAnsi="宋体" w:eastAsia="宋体" w:cs="宋体"/>
          <w:color w:val="auto"/>
          <w:szCs w:val="21"/>
          <w:highlight w:val="none"/>
        </w:rPr>
      </w:pPr>
    </w:p>
    <w:p w14:paraId="38228083">
      <w:pPr>
        <w:spacing w:line="440" w:lineRule="exact"/>
        <w:rPr>
          <w:rFonts w:hint="eastAsia" w:ascii="宋体" w:hAnsi="宋体" w:eastAsia="宋体" w:cs="宋体"/>
          <w:color w:val="auto"/>
          <w:szCs w:val="21"/>
          <w:highlight w:val="none"/>
        </w:rPr>
      </w:pPr>
    </w:p>
    <w:p w14:paraId="6BF04D7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投标人：</w:t>
      </w:r>
      <w:r>
        <w:rPr>
          <w:rFonts w:hint="eastAsia" w:ascii="宋体" w:hAnsi="宋体" w:eastAsia="宋体" w:cs="宋体"/>
          <w:color w:val="auto"/>
          <w:szCs w:val="21"/>
          <w:highlight w:val="none"/>
          <w:u w:val="single"/>
        </w:rPr>
        <w:t xml:space="preserve">                          </w:t>
      </w:r>
    </w:p>
    <w:p w14:paraId="304BFC0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1EF749B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306A7FA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15E37B43">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E6B265A">
      <w:pPr>
        <w:spacing w:line="440" w:lineRule="exact"/>
        <w:rPr>
          <w:rFonts w:hint="eastAsia" w:ascii="宋体" w:hAnsi="宋体" w:eastAsia="宋体" w:cs="宋体"/>
          <w:color w:val="auto"/>
          <w:szCs w:val="21"/>
          <w:highlight w:val="none"/>
        </w:rPr>
      </w:pPr>
    </w:p>
    <w:p w14:paraId="7C5434F8">
      <w:pPr>
        <w:spacing w:line="440" w:lineRule="exact"/>
        <w:rPr>
          <w:rFonts w:hint="eastAsia" w:ascii="宋体" w:hAnsi="宋体" w:eastAsia="宋体" w:cs="宋体"/>
          <w:color w:val="auto"/>
          <w:szCs w:val="21"/>
          <w:highlight w:val="none"/>
        </w:rPr>
      </w:pPr>
    </w:p>
    <w:p w14:paraId="24D1797A">
      <w:pPr>
        <w:spacing w:line="440" w:lineRule="exact"/>
        <w:rPr>
          <w:rFonts w:hint="eastAsia" w:ascii="宋体" w:hAnsi="宋体" w:eastAsia="宋体" w:cs="宋体"/>
          <w:color w:val="auto"/>
          <w:szCs w:val="21"/>
          <w:highlight w:val="none"/>
        </w:rPr>
      </w:pPr>
    </w:p>
    <w:p w14:paraId="44C2BF11">
      <w:pPr>
        <w:spacing w:line="440" w:lineRule="exact"/>
        <w:rPr>
          <w:rFonts w:hint="eastAsia" w:ascii="宋体" w:hAnsi="宋体" w:eastAsia="宋体" w:cs="宋体"/>
          <w:color w:val="auto"/>
          <w:szCs w:val="21"/>
          <w:highlight w:val="none"/>
        </w:rPr>
      </w:pPr>
    </w:p>
    <w:p w14:paraId="0F4A1F5C">
      <w:pPr>
        <w:spacing w:line="440" w:lineRule="exact"/>
        <w:rPr>
          <w:rFonts w:hint="eastAsia" w:ascii="宋体" w:hAnsi="宋体" w:eastAsia="宋体" w:cs="宋体"/>
          <w:color w:val="auto"/>
          <w:szCs w:val="21"/>
          <w:highlight w:val="none"/>
        </w:rPr>
      </w:pPr>
    </w:p>
    <w:p w14:paraId="1EEB1127">
      <w:pPr>
        <w:spacing w:line="440" w:lineRule="exact"/>
        <w:rPr>
          <w:rFonts w:hint="eastAsia" w:ascii="宋体" w:hAnsi="宋体" w:eastAsia="宋体" w:cs="宋体"/>
          <w:color w:val="auto"/>
          <w:szCs w:val="21"/>
          <w:highlight w:val="none"/>
        </w:rPr>
      </w:pPr>
    </w:p>
    <w:p w14:paraId="1D419BC5">
      <w:pPr>
        <w:spacing w:line="440" w:lineRule="exact"/>
        <w:rPr>
          <w:rFonts w:hint="eastAsia" w:ascii="宋体" w:hAnsi="宋体" w:eastAsia="宋体" w:cs="宋体"/>
          <w:color w:val="auto"/>
          <w:szCs w:val="21"/>
          <w:highlight w:val="none"/>
        </w:rPr>
      </w:pPr>
    </w:p>
    <w:p w14:paraId="279784AE">
      <w:pPr>
        <w:spacing w:line="440" w:lineRule="exact"/>
        <w:rPr>
          <w:rFonts w:hint="eastAsia" w:ascii="宋体" w:hAnsi="宋体" w:eastAsia="宋体" w:cs="宋体"/>
          <w:color w:val="auto"/>
          <w:szCs w:val="21"/>
          <w:highlight w:val="none"/>
        </w:rPr>
      </w:pPr>
    </w:p>
    <w:p w14:paraId="303B2B51">
      <w:pPr>
        <w:widowControl/>
        <w:spacing w:line="360" w:lineRule="auto"/>
        <w:jc w:val="left"/>
        <w:rPr>
          <w:rFonts w:hint="eastAsia" w:ascii="宋体" w:hAnsi="宋体" w:eastAsia="宋体" w:cs="宋体"/>
          <w:b/>
          <w:bCs/>
          <w:color w:val="auto"/>
          <w:sz w:val="30"/>
          <w:szCs w:val="30"/>
          <w:highlight w:val="none"/>
        </w:rPr>
      </w:pPr>
    </w:p>
    <w:p w14:paraId="0795E2D8">
      <w:pPr>
        <w:keepNext/>
        <w:spacing w:line="360" w:lineRule="auto"/>
        <w:jc w:val="center"/>
        <w:outlineLvl w:val="0"/>
        <w:rPr>
          <w:rFonts w:hint="eastAsia" w:ascii="宋体" w:hAnsi="宋体" w:eastAsia="宋体" w:cs="宋体"/>
          <w:b/>
          <w:bCs/>
          <w:color w:val="auto"/>
          <w:sz w:val="32"/>
          <w:szCs w:val="32"/>
          <w:highlight w:val="none"/>
        </w:rPr>
      </w:pPr>
      <w:bookmarkStart w:id="92" w:name="_Toc26723"/>
      <w:r>
        <w:rPr>
          <w:rFonts w:hint="eastAsia" w:ascii="宋体" w:hAnsi="宋体" w:eastAsia="宋体" w:cs="宋体"/>
          <w:b/>
          <w:bCs/>
          <w:color w:val="auto"/>
          <w:sz w:val="32"/>
          <w:szCs w:val="32"/>
          <w:highlight w:val="none"/>
        </w:rPr>
        <w:t>第三章 评标办法（综合评分法）</w:t>
      </w:r>
      <w:bookmarkEnd w:id="92"/>
    </w:p>
    <w:p w14:paraId="35314FCF">
      <w:pPr>
        <w:spacing w:line="360" w:lineRule="auto"/>
        <w:rPr>
          <w:rFonts w:hint="eastAsia" w:ascii="宋体" w:hAnsi="宋体" w:eastAsia="宋体" w:cs="宋体"/>
          <w:b/>
          <w:color w:val="auto"/>
          <w:szCs w:val="21"/>
          <w:highlight w:val="none"/>
        </w:rPr>
      </w:pPr>
      <w:bookmarkStart w:id="93" w:name="_Toc425234967"/>
      <w:bookmarkStart w:id="94" w:name="_Toc398716793"/>
      <w:bookmarkStart w:id="95" w:name="_Toc381964731"/>
      <w:bookmarkStart w:id="96" w:name="_Toc411328768"/>
      <w:bookmarkStart w:id="97" w:name="_Toc381964639"/>
      <w:bookmarkStart w:id="98" w:name="_Toc374358909"/>
      <w:bookmarkStart w:id="99" w:name="_Toc363053524"/>
      <w:bookmarkStart w:id="100" w:name="_Toc414956962"/>
      <w:bookmarkStart w:id="101" w:name="_Toc381018330"/>
      <w:bookmarkStart w:id="102" w:name="_Toc411328769"/>
      <w:r>
        <w:rPr>
          <w:rFonts w:hint="eastAsia" w:ascii="宋体" w:hAnsi="宋体" w:eastAsia="宋体" w:cs="宋体"/>
          <w:b/>
          <w:color w:val="auto"/>
          <w:szCs w:val="21"/>
          <w:highlight w:val="none"/>
        </w:rPr>
        <w:t>一、初步评审</w:t>
      </w:r>
      <w:bookmarkEnd w:id="93"/>
      <w:bookmarkEnd w:id="94"/>
      <w:bookmarkEnd w:id="95"/>
      <w:bookmarkEnd w:id="96"/>
      <w:bookmarkEnd w:id="97"/>
      <w:bookmarkEnd w:id="98"/>
      <w:bookmarkEnd w:id="99"/>
      <w:bookmarkEnd w:id="100"/>
      <w:bookmarkEnd w:id="101"/>
    </w:p>
    <w:p w14:paraId="50728D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初步评审分为资格</w:t>
      </w:r>
      <w:r>
        <w:rPr>
          <w:rFonts w:hint="eastAsia" w:ascii="宋体" w:hAnsi="宋体" w:eastAsia="宋体" w:cs="宋体"/>
          <w:color w:val="auto"/>
          <w:szCs w:val="21"/>
          <w:highlight w:val="none"/>
          <w:lang w:val="en-US" w:eastAsia="zh-CN"/>
        </w:rPr>
        <w:t>审查</w:t>
      </w:r>
      <w:r>
        <w:rPr>
          <w:rFonts w:hint="eastAsia" w:ascii="宋体" w:hAnsi="宋体" w:eastAsia="宋体" w:cs="宋体"/>
          <w:color w:val="auto"/>
          <w:szCs w:val="21"/>
          <w:highlight w:val="none"/>
        </w:rPr>
        <w:t>和符合性</w:t>
      </w:r>
      <w:r>
        <w:rPr>
          <w:rFonts w:hint="eastAsia" w:ascii="宋体" w:hAnsi="宋体" w:eastAsia="宋体" w:cs="宋体"/>
          <w:color w:val="auto"/>
          <w:szCs w:val="21"/>
          <w:highlight w:val="none"/>
          <w:lang w:val="en-US" w:eastAsia="zh-CN"/>
        </w:rPr>
        <w:t>审查</w:t>
      </w:r>
      <w:r>
        <w:rPr>
          <w:rFonts w:hint="eastAsia" w:ascii="宋体" w:hAnsi="宋体" w:eastAsia="宋体" w:cs="宋体"/>
          <w:color w:val="auto"/>
          <w:szCs w:val="21"/>
          <w:highlight w:val="none"/>
        </w:rPr>
        <w:t>。</w:t>
      </w:r>
    </w:p>
    <w:p w14:paraId="5F2F4DCA">
      <w:pPr>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1.资格性</w:t>
      </w:r>
      <w:r>
        <w:rPr>
          <w:rFonts w:hint="eastAsia" w:ascii="宋体" w:hAnsi="宋体" w:eastAsia="宋体" w:cs="宋体"/>
          <w:b/>
          <w:color w:val="auto"/>
          <w:szCs w:val="21"/>
          <w:highlight w:val="none"/>
          <w:lang w:val="en-US" w:eastAsia="zh-CN"/>
        </w:rPr>
        <w:t>审查</w:t>
      </w:r>
    </w:p>
    <w:bookmarkEnd w:id="102"/>
    <w:tbl>
      <w:tblPr>
        <w:tblStyle w:val="23"/>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2950"/>
        <w:gridCol w:w="4991"/>
      </w:tblGrid>
      <w:tr w14:paraId="6FB3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145" w:type="dxa"/>
            <w:noWrap w:val="0"/>
            <w:vAlign w:val="center"/>
          </w:tcPr>
          <w:p w14:paraId="22B62CFA">
            <w:pPr>
              <w:spacing w:line="360" w:lineRule="auto"/>
              <w:jc w:val="center"/>
              <w:rPr>
                <w:rFonts w:hint="eastAsia" w:ascii="宋体" w:hAnsi="宋体" w:eastAsia="宋体" w:cs="宋体"/>
                <w:b/>
                <w:bCs/>
                <w:color w:val="auto"/>
                <w:szCs w:val="21"/>
                <w:highlight w:val="none"/>
              </w:rPr>
            </w:pPr>
            <w:bookmarkStart w:id="103" w:name="_Toc398716795"/>
            <w:bookmarkStart w:id="104" w:name="_Toc381964641"/>
            <w:bookmarkStart w:id="105" w:name="_Toc414956964"/>
            <w:bookmarkStart w:id="106" w:name="_Toc381018332"/>
            <w:bookmarkStart w:id="107" w:name="_Toc374358911"/>
            <w:bookmarkStart w:id="108" w:name="_Toc381964733"/>
            <w:bookmarkStart w:id="109" w:name="_Toc363053527"/>
            <w:bookmarkStart w:id="110" w:name="_Toc359252260"/>
            <w:bookmarkStart w:id="111" w:name="_Toc297211688"/>
            <w:bookmarkStart w:id="112" w:name="_Toc357777330"/>
            <w:r>
              <w:rPr>
                <w:rFonts w:hint="eastAsia" w:ascii="宋体" w:hAnsi="宋体" w:eastAsia="宋体" w:cs="宋体"/>
                <w:b/>
                <w:bCs/>
                <w:color w:val="auto"/>
                <w:szCs w:val="21"/>
                <w:highlight w:val="none"/>
              </w:rPr>
              <w:t>条款号</w:t>
            </w:r>
          </w:p>
        </w:tc>
        <w:tc>
          <w:tcPr>
            <w:tcW w:w="2950" w:type="dxa"/>
            <w:noWrap w:val="0"/>
            <w:vAlign w:val="center"/>
          </w:tcPr>
          <w:p w14:paraId="296213C6">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4991" w:type="dxa"/>
            <w:noWrap w:val="0"/>
            <w:vAlign w:val="center"/>
          </w:tcPr>
          <w:p w14:paraId="54AAC8A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r>
      <w:tr w14:paraId="0B04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145" w:type="dxa"/>
            <w:noWrap w:val="0"/>
            <w:vAlign w:val="center"/>
          </w:tcPr>
          <w:p w14:paraId="56D12E48">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w:t>
            </w:r>
          </w:p>
        </w:tc>
        <w:tc>
          <w:tcPr>
            <w:tcW w:w="2950" w:type="dxa"/>
            <w:noWrap w:val="0"/>
            <w:vAlign w:val="center"/>
          </w:tcPr>
          <w:p w14:paraId="025C7E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符合《中华人民共和国政府采购法》第22条规定</w:t>
            </w:r>
          </w:p>
        </w:tc>
        <w:tc>
          <w:tcPr>
            <w:tcW w:w="4991" w:type="dxa"/>
            <w:noWrap w:val="0"/>
            <w:vAlign w:val="center"/>
          </w:tcPr>
          <w:p w14:paraId="345D1155">
            <w:pPr>
              <w:spacing w:line="360" w:lineRule="auto"/>
              <w:jc w:val="both"/>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符合第二章“供应商须知”第1.4.1项规定</w:t>
            </w:r>
          </w:p>
        </w:tc>
      </w:tr>
      <w:tr w14:paraId="4186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45" w:type="dxa"/>
            <w:noWrap w:val="0"/>
            <w:vAlign w:val="center"/>
          </w:tcPr>
          <w:p w14:paraId="65B31989">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1.2</w:t>
            </w:r>
          </w:p>
        </w:tc>
        <w:tc>
          <w:tcPr>
            <w:tcW w:w="2950" w:type="dxa"/>
            <w:noWrap w:val="0"/>
            <w:vAlign w:val="center"/>
          </w:tcPr>
          <w:p w14:paraId="6B3C9842">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落实政府采购政策满足的资格要求</w:t>
            </w:r>
          </w:p>
        </w:tc>
        <w:tc>
          <w:tcPr>
            <w:tcW w:w="4991" w:type="dxa"/>
            <w:noWrap w:val="0"/>
            <w:vAlign w:val="center"/>
          </w:tcPr>
          <w:p w14:paraId="1FE988E3">
            <w:pPr>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符合第二章“供应商须知”第1.4.1项规定</w:t>
            </w:r>
          </w:p>
        </w:tc>
      </w:tr>
      <w:tr w14:paraId="2DDE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45" w:type="dxa"/>
            <w:noWrap w:val="0"/>
            <w:vAlign w:val="center"/>
          </w:tcPr>
          <w:p w14:paraId="24F6A9AB">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1.3</w:t>
            </w:r>
          </w:p>
        </w:tc>
        <w:tc>
          <w:tcPr>
            <w:tcW w:w="2950" w:type="dxa"/>
            <w:noWrap w:val="0"/>
            <w:vAlign w:val="center"/>
          </w:tcPr>
          <w:p w14:paraId="7BBE3DAE">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特定资格要求</w:t>
            </w:r>
          </w:p>
        </w:tc>
        <w:tc>
          <w:tcPr>
            <w:tcW w:w="4991" w:type="dxa"/>
            <w:noWrap w:val="0"/>
            <w:vAlign w:val="center"/>
          </w:tcPr>
          <w:p w14:paraId="4A52C6A0">
            <w:pPr>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符合第二章“供应商须知”第1.4.1项规定</w:t>
            </w:r>
          </w:p>
        </w:tc>
      </w:tr>
      <w:tr w14:paraId="2BCF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45" w:type="dxa"/>
            <w:noWrap w:val="0"/>
            <w:vAlign w:val="center"/>
          </w:tcPr>
          <w:p w14:paraId="3993FDA5">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1.4</w:t>
            </w:r>
          </w:p>
        </w:tc>
        <w:tc>
          <w:tcPr>
            <w:tcW w:w="2950" w:type="dxa"/>
            <w:noWrap w:val="0"/>
            <w:vAlign w:val="center"/>
          </w:tcPr>
          <w:p w14:paraId="4C90FCA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其他要求</w:t>
            </w:r>
          </w:p>
        </w:tc>
        <w:tc>
          <w:tcPr>
            <w:tcW w:w="4991" w:type="dxa"/>
            <w:noWrap w:val="0"/>
            <w:vAlign w:val="center"/>
          </w:tcPr>
          <w:p w14:paraId="2D5FAA08">
            <w:pPr>
              <w:spacing w:line="360" w:lineRule="auto"/>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符合第二章“供应商须知”第1.4.1项规定</w:t>
            </w:r>
          </w:p>
        </w:tc>
      </w:tr>
    </w:tbl>
    <w:p w14:paraId="0A0AB842">
      <w:p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注：本项目为资格后审，由采购人代表或代理机构人员进行资格性审查。</w:t>
      </w:r>
    </w:p>
    <w:p w14:paraId="1063431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2.符合性审查</w:t>
      </w:r>
    </w:p>
    <w:tbl>
      <w:tblPr>
        <w:tblStyle w:val="2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2874"/>
        <w:gridCol w:w="5148"/>
      </w:tblGrid>
      <w:tr w14:paraId="7079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16" w:type="dxa"/>
            <w:noWrap w:val="0"/>
            <w:vAlign w:val="center"/>
          </w:tcPr>
          <w:p w14:paraId="73EDF1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2874" w:type="dxa"/>
            <w:noWrap w:val="0"/>
            <w:vAlign w:val="center"/>
          </w:tcPr>
          <w:p w14:paraId="295416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5148" w:type="dxa"/>
            <w:noWrap w:val="0"/>
            <w:vAlign w:val="center"/>
          </w:tcPr>
          <w:p w14:paraId="342AB3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16B3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16" w:type="dxa"/>
            <w:noWrap w:val="0"/>
            <w:vAlign w:val="center"/>
          </w:tcPr>
          <w:p w14:paraId="58AA0F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w:t>
            </w:r>
          </w:p>
        </w:tc>
        <w:tc>
          <w:tcPr>
            <w:tcW w:w="2874" w:type="dxa"/>
            <w:noWrap w:val="0"/>
            <w:vAlign w:val="center"/>
          </w:tcPr>
          <w:p w14:paraId="3B25F5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5148" w:type="dxa"/>
            <w:noWrap w:val="0"/>
            <w:vAlign w:val="center"/>
          </w:tcPr>
          <w:p w14:paraId="3FE616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与营业执照名称一致</w:t>
            </w:r>
          </w:p>
        </w:tc>
      </w:tr>
      <w:tr w14:paraId="6CC1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16" w:type="dxa"/>
            <w:noWrap w:val="0"/>
            <w:vAlign w:val="center"/>
          </w:tcPr>
          <w:p w14:paraId="2C0870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w:t>
            </w:r>
          </w:p>
        </w:tc>
        <w:tc>
          <w:tcPr>
            <w:tcW w:w="2874" w:type="dxa"/>
            <w:noWrap w:val="0"/>
            <w:vAlign w:val="center"/>
          </w:tcPr>
          <w:p w14:paraId="24C5AD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5148" w:type="dxa"/>
            <w:noWrap w:val="0"/>
            <w:vAlign w:val="center"/>
          </w:tcPr>
          <w:p w14:paraId="67B5B26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符合第六章“投标文件格式”的投标函签字盖章规定</w:t>
            </w:r>
          </w:p>
        </w:tc>
      </w:tr>
      <w:tr w14:paraId="63A8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16" w:type="dxa"/>
            <w:noWrap w:val="0"/>
            <w:vAlign w:val="center"/>
          </w:tcPr>
          <w:p w14:paraId="1F533A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w:t>
            </w:r>
          </w:p>
        </w:tc>
        <w:tc>
          <w:tcPr>
            <w:tcW w:w="2874" w:type="dxa"/>
            <w:noWrap w:val="0"/>
            <w:vAlign w:val="center"/>
          </w:tcPr>
          <w:p w14:paraId="3936B1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148" w:type="dxa"/>
            <w:noWrap w:val="0"/>
            <w:vAlign w:val="center"/>
          </w:tcPr>
          <w:p w14:paraId="6750E6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符合第六章“投标文件格式”的规定</w:t>
            </w:r>
          </w:p>
        </w:tc>
      </w:tr>
      <w:tr w14:paraId="0711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16" w:type="dxa"/>
            <w:noWrap w:val="0"/>
            <w:vAlign w:val="center"/>
          </w:tcPr>
          <w:p w14:paraId="71F8E7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w:t>
            </w:r>
          </w:p>
        </w:tc>
        <w:tc>
          <w:tcPr>
            <w:tcW w:w="2874" w:type="dxa"/>
            <w:noWrap w:val="0"/>
            <w:vAlign w:val="center"/>
          </w:tcPr>
          <w:p w14:paraId="75A0C7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5148" w:type="dxa"/>
            <w:noWrap w:val="0"/>
            <w:vAlign w:val="center"/>
          </w:tcPr>
          <w:p w14:paraId="020C8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w:t>
            </w:r>
            <w:bookmarkStart w:id="166" w:name="_GoBack"/>
            <w:r>
              <w:rPr>
                <w:rFonts w:hint="eastAsia" w:ascii="宋体" w:hAnsi="宋体" w:eastAsia="宋体" w:cs="宋体"/>
                <w:color w:val="auto"/>
                <w:sz w:val="21"/>
                <w:szCs w:val="21"/>
                <w:highlight w:val="none"/>
              </w:rPr>
              <w:t>价</w:t>
            </w:r>
            <w:bookmarkEnd w:id="166"/>
          </w:p>
        </w:tc>
      </w:tr>
      <w:tr w14:paraId="3F1C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16" w:type="dxa"/>
            <w:noWrap w:val="0"/>
            <w:vAlign w:val="center"/>
          </w:tcPr>
          <w:p w14:paraId="2C5B89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2.5</w:t>
            </w:r>
          </w:p>
        </w:tc>
        <w:tc>
          <w:tcPr>
            <w:tcW w:w="2874" w:type="dxa"/>
            <w:noWrap w:val="0"/>
            <w:vAlign w:val="center"/>
          </w:tcPr>
          <w:p w14:paraId="207590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148" w:type="dxa"/>
            <w:noWrap w:val="0"/>
            <w:vAlign w:val="center"/>
          </w:tcPr>
          <w:p w14:paraId="1C5BE2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符合第二章“供应商须知”第1.3.1项规定</w:t>
            </w:r>
          </w:p>
        </w:tc>
      </w:tr>
      <w:tr w14:paraId="0B8F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16" w:type="dxa"/>
            <w:noWrap w:val="0"/>
            <w:vAlign w:val="center"/>
          </w:tcPr>
          <w:p w14:paraId="0A2C63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2.6</w:t>
            </w:r>
          </w:p>
        </w:tc>
        <w:tc>
          <w:tcPr>
            <w:tcW w:w="2874" w:type="dxa"/>
            <w:noWrap w:val="0"/>
            <w:vAlign w:val="center"/>
          </w:tcPr>
          <w:p w14:paraId="053825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5148" w:type="dxa"/>
            <w:noWrap w:val="0"/>
            <w:vAlign w:val="center"/>
          </w:tcPr>
          <w:p w14:paraId="252595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符合第二章“供应商须知”第1.3.2项规定</w:t>
            </w:r>
          </w:p>
        </w:tc>
      </w:tr>
      <w:tr w14:paraId="1576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16" w:type="dxa"/>
            <w:noWrap w:val="0"/>
            <w:vAlign w:val="center"/>
          </w:tcPr>
          <w:p w14:paraId="7C0220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2.7</w:t>
            </w:r>
          </w:p>
        </w:tc>
        <w:tc>
          <w:tcPr>
            <w:tcW w:w="2874" w:type="dxa"/>
            <w:noWrap w:val="0"/>
            <w:vAlign w:val="center"/>
          </w:tcPr>
          <w:p w14:paraId="7BA9F8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运维</w:t>
            </w:r>
            <w:r>
              <w:rPr>
                <w:rFonts w:hint="eastAsia" w:ascii="宋体" w:hAnsi="宋体" w:eastAsia="宋体" w:cs="宋体"/>
                <w:color w:val="auto"/>
                <w:sz w:val="21"/>
                <w:szCs w:val="21"/>
                <w:highlight w:val="none"/>
                <w:lang w:val="en-US" w:eastAsia="zh-CN"/>
              </w:rPr>
              <w:t>期限</w:t>
            </w:r>
          </w:p>
        </w:tc>
        <w:tc>
          <w:tcPr>
            <w:tcW w:w="5148" w:type="dxa"/>
            <w:noWrap w:val="0"/>
            <w:vAlign w:val="center"/>
          </w:tcPr>
          <w:p w14:paraId="4AFD8B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符合第二章“供应商须知”第1.3.3项规定</w:t>
            </w:r>
          </w:p>
        </w:tc>
      </w:tr>
      <w:tr w14:paraId="032D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16" w:type="dxa"/>
            <w:noWrap w:val="0"/>
            <w:vAlign w:val="center"/>
          </w:tcPr>
          <w:p w14:paraId="1CB25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8</w:t>
            </w:r>
          </w:p>
        </w:tc>
        <w:tc>
          <w:tcPr>
            <w:tcW w:w="2874" w:type="dxa"/>
            <w:noWrap w:val="0"/>
            <w:vAlign w:val="center"/>
          </w:tcPr>
          <w:p w14:paraId="1E442B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148" w:type="dxa"/>
            <w:noWrap w:val="0"/>
            <w:vAlign w:val="center"/>
          </w:tcPr>
          <w:p w14:paraId="2DB7F4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符合第二章“供应商须知”第3.3.1项规定</w:t>
            </w:r>
          </w:p>
        </w:tc>
      </w:tr>
      <w:tr w14:paraId="3DB2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6" w:type="dxa"/>
            <w:noWrap w:val="0"/>
            <w:vAlign w:val="center"/>
          </w:tcPr>
          <w:p w14:paraId="3F7233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9</w:t>
            </w:r>
          </w:p>
        </w:tc>
        <w:tc>
          <w:tcPr>
            <w:tcW w:w="2874" w:type="dxa"/>
            <w:noWrap w:val="0"/>
            <w:vAlign w:val="center"/>
          </w:tcPr>
          <w:p w14:paraId="17DC5D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148" w:type="dxa"/>
            <w:noWrap w:val="0"/>
            <w:vAlign w:val="center"/>
          </w:tcPr>
          <w:p w14:paraId="2574CB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低于（含等于）最高投标限价（预算价）</w:t>
            </w:r>
          </w:p>
        </w:tc>
      </w:tr>
    </w:tbl>
    <w:p w14:paraId="2600D8A3">
      <w:pPr>
        <w:spacing w:line="360" w:lineRule="auto"/>
        <w:rPr>
          <w:rFonts w:hint="eastAsia" w:ascii="宋体" w:hAnsi="宋体" w:eastAsia="宋体" w:cs="宋体"/>
          <w:b/>
          <w:color w:val="auto"/>
          <w:szCs w:val="21"/>
          <w:highlight w:val="none"/>
        </w:rPr>
      </w:pPr>
    </w:p>
    <w:p w14:paraId="1F3B1874">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二、投标文件的澄清</w:t>
      </w:r>
    </w:p>
    <w:p w14:paraId="0513D0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投标文件中含义不明确、同类问题表述不一致或者有明显文字和计算错误的内容，评标委员会可以书面形式（应当由评标委员会专家签字）要求投标人作出必要的澄清、说明或者补正。投标人的澄清、说明或补正应当采用书面形式，由其授权的代表签字，并不得超出投标文件的范围或者改变投标文件的实质性内容。</w:t>
      </w:r>
    </w:p>
    <w:p w14:paraId="7FE31433">
      <w:pPr>
        <w:numPr>
          <w:ilvl w:val="0"/>
          <w:numId w:val="0"/>
        </w:numPr>
        <w:spacing w:line="360" w:lineRule="auto"/>
        <w:ind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算术性错误的修正</w:t>
      </w:r>
    </w:p>
    <w:p w14:paraId="312474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投标报价有算术错误的，评标委员会按以下原则对投标报价进行修正，修正的价格经投标人书面确认后具有约束力。投标人不接受修正价格的，其投标作废标处理。</w:t>
      </w:r>
    </w:p>
    <w:p w14:paraId="50736D2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（1）投标文件的大写金额与小写金额不一致的，以大写金额为准；</w:t>
      </w:r>
    </w:p>
    <w:p w14:paraId="5A5D5DF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（2）总价金额与按单价汇总金额不一致的，以单价金额计算结果为准；单价金额小数点有明显错误的，应以总价为准，并修改单价；对不同文字文本投标文件的解释发生异议的，以中文文本为准。</w:t>
      </w:r>
    </w:p>
    <w:p w14:paraId="112610FF">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四、详细评审</w:t>
      </w:r>
    </w:p>
    <w:p w14:paraId="28213716">
      <w:pPr>
        <w:spacing w:line="360" w:lineRule="auto"/>
        <w:ind w:firstLine="420"/>
        <w:rPr>
          <w:rFonts w:hint="eastAsia" w:ascii="宋体" w:hAnsi="宋体" w:eastAsia="宋体" w:cs="宋体"/>
          <w:b/>
          <w:bCs/>
          <w:color w:val="auto"/>
          <w:sz w:val="32"/>
          <w:szCs w:val="32"/>
          <w:highlight w:val="none"/>
        </w:rPr>
      </w:pPr>
      <w:r>
        <w:rPr>
          <w:rFonts w:hint="eastAsia" w:ascii="宋体" w:hAnsi="宋体" w:eastAsia="宋体" w:cs="宋体"/>
          <w:color w:val="auto"/>
          <w:szCs w:val="21"/>
          <w:highlight w:val="none"/>
        </w:rPr>
        <w:t>评标委员会依据本章详细评分因素及分值分配表，对通过资格性检查和符合性检查的有效投标文件针对投标报价、商务和技术等进行评估，综合比较与评价。</w:t>
      </w:r>
      <w:bookmarkEnd w:id="103"/>
      <w:bookmarkEnd w:id="104"/>
      <w:bookmarkEnd w:id="105"/>
      <w:bookmarkEnd w:id="106"/>
      <w:bookmarkEnd w:id="107"/>
      <w:bookmarkEnd w:id="108"/>
      <w:bookmarkEnd w:id="109"/>
    </w:p>
    <w:p w14:paraId="2262E13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详细评审</w:t>
      </w:r>
    </w:p>
    <w:tbl>
      <w:tblPr>
        <w:tblStyle w:val="23"/>
        <w:tblpPr w:leftFromText="180" w:rightFromText="180" w:vertAnchor="text" w:tblpXSpec="center" w:tblpY="1"/>
        <w:tblOverlap w:val="never"/>
        <w:tblW w:w="9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492"/>
        <w:gridCol w:w="7211"/>
      </w:tblGrid>
      <w:tr w14:paraId="63DC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5" w:type="dxa"/>
            <w:noWrap w:val="0"/>
            <w:vAlign w:val="center"/>
          </w:tcPr>
          <w:p w14:paraId="6D3C5023">
            <w:pPr>
              <w:pStyle w:val="28"/>
              <w:keepLines w:val="0"/>
              <w:pageBreakBefore w:val="0"/>
              <w:widowControl w:val="0"/>
              <w:tabs>
                <w:tab w:val="left" w:pos="635"/>
              </w:tabs>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ascii="宋体" w:hAnsi="宋体" w:eastAsia="宋体" w:cs="宋体"/>
                <w:b/>
                <w:bCs/>
                <w:color w:val="auto"/>
                <w:kern w:val="0"/>
                <w:sz w:val="21"/>
                <w:szCs w:val="21"/>
                <w:highlight w:val="none"/>
              </w:rPr>
            </w:pPr>
            <w:bookmarkStart w:id="113" w:name="_Toc381964644"/>
            <w:bookmarkStart w:id="114" w:name="_Toc398716796"/>
            <w:bookmarkStart w:id="115" w:name="_Toc381964736"/>
            <w:bookmarkStart w:id="116" w:name="_Toc425234970"/>
            <w:bookmarkStart w:id="117" w:name="_Toc376964946"/>
            <w:bookmarkStart w:id="118" w:name="_Toc414956965"/>
            <w:r>
              <w:rPr>
                <w:rFonts w:hint="eastAsia" w:ascii="宋体" w:hAnsi="宋体" w:eastAsia="宋体" w:cs="宋体"/>
                <w:b/>
                <w:bCs/>
                <w:color w:val="auto"/>
                <w:sz w:val="21"/>
                <w:szCs w:val="21"/>
                <w:highlight w:val="none"/>
              </w:rPr>
              <w:t>评分因素</w:t>
            </w:r>
          </w:p>
        </w:tc>
        <w:tc>
          <w:tcPr>
            <w:tcW w:w="1492" w:type="dxa"/>
            <w:noWrap w:val="0"/>
            <w:vAlign w:val="center"/>
          </w:tcPr>
          <w:p w14:paraId="59AB4163">
            <w:pPr>
              <w:pStyle w:val="28"/>
              <w:keepLines w:val="0"/>
              <w:pageBreakBefore w:val="0"/>
              <w:widowControl w:val="0"/>
              <w:tabs>
                <w:tab w:val="left" w:pos="635"/>
              </w:tabs>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评分内容</w:t>
            </w:r>
          </w:p>
        </w:tc>
        <w:tc>
          <w:tcPr>
            <w:tcW w:w="7211" w:type="dxa"/>
            <w:noWrap w:val="0"/>
            <w:vAlign w:val="center"/>
          </w:tcPr>
          <w:p w14:paraId="3D122C65">
            <w:pPr>
              <w:pStyle w:val="28"/>
              <w:keepLines w:val="0"/>
              <w:pageBreakBefore w:val="0"/>
              <w:widowControl w:val="0"/>
              <w:tabs>
                <w:tab w:val="left" w:pos="635"/>
              </w:tabs>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评分标准</w:t>
            </w:r>
          </w:p>
        </w:tc>
      </w:tr>
      <w:tr w14:paraId="1CD7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1195" w:type="dxa"/>
            <w:noWrap w:val="0"/>
            <w:vAlign w:val="center"/>
          </w:tcPr>
          <w:p w14:paraId="13A4C8E3">
            <w:pPr>
              <w:pStyle w:val="28"/>
              <w:keepLines w:val="0"/>
              <w:pageBreakBefore w:val="0"/>
              <w:widowControl w:val="0"/>
              <w:tabs>
                <w:tab w:val="left" w:pos="635"/>
              </w:tabs>
              <w:kinsoku/>
              <w:wordWrap/>
              <w:overflowPunct/>
              <w:topLinePunct w:val="0"/>
              <w:autoSpaceDE w:val="0"/>
              <w:autoSpaceDN w:val="0"/>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03A99D69">
            <w:pPr>
              <w:pStyle w:val="28"/>
              <w:keepLines w:val="0"/>
              <w:pageBreakBefore w:val="0"/>
              <w:widowControl w:val="0"/>
              <w:tabs>
                <w:tab w:val="left" w:pos="635"/>
              </w:tabs>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1492" w:type="dxa"/>
            <w:noWrap w:val="0"/>
            <w:vAlign w:val="center"/>
          </w:tcPr>
          <w:p w14:paraId="16431074">
            <w:pPr>
              <w:pStyle w:val="28"/>
              <w:keepLines w:val="0"/>
              <w:pageBreakBefore w:val="0"/>
              <w:widowControl w:val="0"/>
              <w:tabs>
                <w:tab w:val="left" w:pos="635"/>
              </w:tabs>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0EF7C1BD">
            <w:pPr>
              <w:pStyle w:val="28"/>
              <w:keepLines w:val="0"/>
              <w:pageBreakBefore w:val="0"/>
              <w:widowControl w:val="0"/>
              <w:tabs>
                <w:tab w:val="left" w:pos="635"/>
              </w:tabs>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7211" w:type="dxa"/>
            <w:noWrap w:val="0"/>
            <w:vAlign w:val="center"/>
          </w:tcPr>
          <w:p w14:paraId="19B3AC9F">
            <w:pPr>
              <w:pStyle w:val="28"/>
              <w:keepLines w:val="0"/>
              <w:pageBreakBefore w:val="0"/>
              <w:widowControl w:val="0"/>
              <w:numPr>
                <w:ilvl w:val="0"/>
                <w:numId w:val="0"/>
              </w:numPr>
              <w:tabs>
                <w:tab w:val="left" w:pos="635"/>
              </w:tabs>
              <w:kinsoku/>
              <w:wordWrap/>
              <w:overflowPunct/>
              <w:topLinePunct w:val="0"/>
              <w:autoSpaceDE w:val="0"/>
              <w:autoSpaceDN w:val="0"/>
              <w:bidi w:val="0"/>
              <w:adjustRightInd/>
              <w:snapToGrid/>
              <w:spacing w:line="360" w:lineRule="auto"/>
              <w:ind w:lef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价格分统一采用低价优先法计算，即满足招标文件要求且投标价格最低的投标报价为评标基准价，其价格分满分</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分。其他供应商的价格分统一按照下列公式计算：</w:t>
            </w:r>
          </w:p>
          <w:p w14:paraId="638FC868">
            <w:pPr>
              <w:pStyle w:val="28"/>
              <w:keepLines w:val="0"/>
              <w:pageBreakBefore w:val="0"/>
              <w:widowControl w:val="0"/>
              <w:numPr>
                <w:ilvl w:val="0"/>
                <w:numId w:val="0"/>
              </w:numPr>
              <w:tabs>
                <w:tab w:val="left" w:pos="635"/>
              </w:tabs>
              <w:kinsoku/>
              <w:wordWrap/>
              <w:overflowPunct/>
              <w:topLinePunct w:val="0"/>
              <w:autoSpaceDE w:val="0"/>
              <w:autoSpaceDN w:val="0"/>
              <w:bidi w:val="0"/>
              <w:adjustRightInd/>
              <w:snapToGrid/>
              <w:spacing w:line="360" w:lineRule="auto"/>
              <w:ind w:lef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投标报价得分=（评标基准价/投标报价）×</w:t>
            </w:r>
            <w:r>
              <w:rPr>
                <w:rFonts w:hint="eastAsia"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p w14:paraId="30ED8DEE">
            <w:pPr>
              <w:pStyle w:val="28"/>
              <w:keepLines w:val="0"/>
              <w:pageBreakBefore w:val="0"/>
              <w:widowControl w:val="0"/>
              <w:numPr>
                <w:ilvl w:val="0"/>
                <w:numId w:val="0"/>
              </w:numPr>
              <w:tabs>
                <w:tab w:val="left" w:pos="635"/>
              </w:tabs>
              <w:kinsoku/>
              <w:wordWrap/>
              <w:overflowPunct/>
              <w:topLinePunct w:val="0"/>
              <w:autoSpaceDE w:val="0"/>
              <w:autoSpaceDN w:val="0"/>
              <w:bidi w:val="0"/>
              <w:adjustRightInd/>
              <w:snapToGrid/>
              <w:spacing w:line="360" w:lineRule="auto"/>
              <w:ind w:lef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注：价格分计算保留小数点后二位。</w:t>
            </w:r>
          </w:p>
          <w:p w14:paraId="28B58DE8">
            <w:pPr>
              <w:pStyle w:val="28"/>
              <w:keepLines w:val="0"/>
              <w:pageBreakBefore w:val="0"/>
              <w:widowControl w:val="0"/>
              <w:numPr>
                <w:ilvl w:val="0"/>
                <w:numId w:val="0"/>
              </w:numPr>
              <w:tabs>
                <w:tab w:val="left" w:pos="635"/>
              </w:tabs>
              <w:kinsoku/>
              <w:wordWrap/>
              <w:overflowPunct/>
              <w:topLinePunct w:val="0"/>
              <w:autoSpaceDE w:val="0"/>
              <w:autoSpaceDN w:val="0"/>
              <w:bidi w:val="0"/>
              <w:adjustRightInd/>
              <w:snapToGrid/>
              <w:spacing w:line="360" w:lineRule="auto"/>
              <w:ind w:lef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（1）本项目的扣除比例为：小型、微型企业及监狱企业扣除20%。符合要求的投标人应当提供《中小企业声明函》（格式详见招标文件内《中小企业声明函》样本）。</w:t>
            </w:r>
          </w:p>
          <w:p w14:paraId="20D1C304">
            <w:pPr>
              <w:pStyle w:val="28"/>
              <w:keepLines w:val="0"/>
              <w:pageBreakBefore w:val="0"/>
              <w:widowControl w:val="0"/>
              <w:numPr>
                <w:ilvl w:val="0"/>
                <w:numId w:val="0"/>
              </w:numPr>
              <w:tabs>
                <w:tab w:val="left" w:pos="635"/>
              </w:tabs>
              <w:kinsoku/>
              <w:wordWrap/>
              <w:overflowPunct/>
              <w:topLinePunct w:val="0"/>
              <w:autoSpaceDE w:val="0"/>
              <w:autoSpaceDN w:val="0"/>
              <w:bidi w:val="0"/>
              <w:adjustRightInd/>
              <w:snapToGrid/>
              <w:spacing w:line="360" w:lineRule="auto"/>
              <w:ind w:lef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根据信财购〔2020〕4号文中六、防范投标企业串标围标及恶意低价行为措施方面，评审专家评审中发现投标人的报价明显低于其他通过符合性审查投标人的报价（建议比控制价低30%的），且该投标人的技术等主要指标有大量或明显故意不符，可能影响采购质量或者项目履约的，应当要求其在评标现场合理的时间内提供书面说明，投标人不能证明其报价合理性的，评标委员会应当将其作为无效投标处理。</w:t>
            </w:r>
          </w:p>
        </w:tc>
      </w:tr>
      <w:tr w14:paraId="569B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5" w:type="dxa"/>
            <w:vMerge w:val="restart"/>
            <w:noWrap w:val="0"/>
            <w:vAlign w:val="center"/>
          </w:tcPr>
          <w:p w14:paraId="69EC1428">
            <w:pPr>
              <w:pStyle w:val="28"/>
              <w:keepLines w:val="0"/>
              <w:pageBreakBefore w:val="0"/>
              <w:widowControl w:val="0"/>
              <w:tabs>
                <w:tab w:val="left" w:pos="635"/>
              </w:tabs>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cs="宋体"/>
                <w:color w:val="auto"/>
                <w:sz w:val="21"/>
                <w:szCs w:val="21"/>
                <w:highlight w:val="none"/>
                <w:lang w:val="en-US" w:eastAsia="zh-CN"/>
              </w:rPr>
              <w:t>48</w:t>
            </w:r>
            <w:r>
              <w:rPr>
                <w:rFonts w:hint="eastAsia" w:ascii="宋体" w:hAnsi="宋体" w:eastAsia="宋体" w:cs="宋体"/>
                <w:color w:val="auto"/>
                <w:sz w:val="21"/>
                <w:szCs w:val="21"/>
                <w:highlight w:val="none"/>
                <w:lang w:val="en-US"/>
              </w:rPr>
              <w:t>分</w:t>
            </w:r>
            <w:r>
              <w:rPr>
                <w:rFonts w:hint="eastAsia" w:ascii="宋体" w:hAnsi="宋体" w:eastAsia="宋体" w:cs="宋体"/>
                <w:color w:val="auto"/>
                <w:sz w:val="21"/>
                <w:szCs w:val="21"/>
                <w:highlight w:val="none"/>
              </w:rPr>
              <w:t>）</w:t>
            </w:r>
          </w:p>
        </w:tc>
        <w:tc>
          <w:tcPr>
            <w:tcW w:w="1492" w:type="dxa"/>
            <w:noWrap w:val="0"/>
            <w:vAlign w:val="center"/>
          </w:tcPr>
          <w:p w14:paraId="1321E6EB">
            <w:pPr>
              <w:widowControl/>
              <w:spacing w:line="360" w:lineRule="auto"/>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000000"/>
                <w:kern w:val="0"/>
                <w:sz w:val="21"/>
                <w:szCs w:val="21"/>
                <w:highlight w:val="none"/>
              </w:rPr>
              <w:t>运维项目理</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解重点难点</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分析</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7211" w:type="dxa"/>
            <w:noWrap w:val="0"/>
            <w:vAlign w:val="center"/>
          </w:tcPr>
          <w:p w14:paraId="53407332">
            <w:pPr>
              <w:widowControl/>
              <w:spacing w:line="360" w:lineRule="auto"/>
              <w:jc w:val="left"/>
              <w:rPr>
                <w:rFonts w:hint="default"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根据对项目运维需求的理解情况、运维工作重点、难点把握情况和应对措施情况进行打分。</w:t>
            </w:r>
            <w:r>
              <w:rPr>
                <w:rFonts w:hint="eastAsia" w:ascii="宋体" w:hAnsi="宋体" w:eastAsia="宋体" w:cs="宋体"/>
                <w:b w:val="0"/>
                <w:bCs w:val="0"/>
                <w:color w:val="auto"/>
                <w:kern w:val="2"/>
                <w:sz w:val="21"/>
                <w:szCs w:val="21"/>
                <w:highlight w:val="none"/>
                <w:lang w:val="en-US" w:eastAsia="zh-CN" w:bidi="zh-CN"/>
              </w:rPr>
              <w:br w:type="textWrapping"/>
            </w:r>
            <w:r>
              <w:rPr>
                <w:rFonts w:hint="eastAsia" w:ascii="宋体" w:hAnsi="宋体" w:eastAsia="宋体" w:cs="宋体"/>
                <w:b w:val="0"/>
                <w:bCs w:val="0"/>
                <w:color w:val="auto"/>
                <w:kern w:val="2"/>
                <w:sz w:val="21"/>
                <w:szCs w:val="21"/>
                <w:highlight w:val="none"/>
                <w:lang w:val="en-US" w:eastAsia="zh-CN" w:bidi="zh-CN"/>
              </w:rPr>
              <w:t>1.理解与描述准确详尽透彻得5分；</w:t>
            </w:r>
            <w:r>
              <w:rPr>
                <w:rFonts w:hint="eastAsia" w:ascii="宋体" w:hAnsi="宋体" w:eastAsia="宋体" w:cs="宋体"/>
                <w:b w:val="0"/>
                <w:bCs w:val="0"/>
                <w:color w:val="auto"/>
                <w:kern w:val="2"/>
                <w:sz w:val="21"/>
                <w:szCs w:val="21"/>
                <w:highlight w:val="none"/>
                <w:lang w:val="en-US" w:eastAsia="zh-CN" w:bidi="zh-CN"/>
              </w:rPr>
              <w:br w:type="textWrapping"/>
            </w:r>
            <w:r>
              <w:rPr>
                <w:rFonts w:hint="eastAsia" w:ascii="宋体" w:hAnsi="宋体" w:eastAsia="宋体" w:cs="宋体"/>
                <w:b w:val="0"/>
                <w:bCs w:val="0"/>
                <w:color w:val="auto"/>
                <w:kern w:val="2"/>
                <w:sz w:val="21"/>
                <w:szCs w:val="21"/>
                <w:highlight w:val="none"/>
                <w:lang w:val="en-US" w:eastAsia="zh-CN" w:bidi="zh-CN"/>
              </w:rPr>
              <w:t>2.理解与描述较准确与项目情况一致得3分；</w:t>
            </w:r>
            <w:r>
              <w:rPr>
                <w:rFonts w:hint="eastAsia" w:ascii="宋体" w:hAnsi="宋体" w:eastAsia="宋体" w:cs="宋体"/>
                <w:b w:val="0"/>
                <w:bCs w:val="0"/>
                <w:color w:val="auto"/>
                <w:kern w:val="2"/>
                <w:sz w:val="21"/>
                <w:szCs w:val="21"/>
                <w:highlight w:val="none"/>
                <w:lang w:val="en-US" w:eastAsia="zh-CN" w:bidi="zh-CN"/>
              </w:rPr>
              <w:br w:type="textWrapping"/>
            </w:r>
            <w:r>
              <w:rPr>
                <w:rFonts w:hint="eastAsia" w:ascii="宋体" w:hAnsi="宋体" w:cs="宋体"/>
                <w:b w:val="0"/>
                <w:bCs w:val="0"/>
                <w:color w:val="auto"/>
                <w:kern w:val="2"/>
                <w:sz w:val="21"/>
                <w:szCs w:val="21"/>
                <w:highlight w:val="none"/>
                <w:lang w:val="en-US" w:eastAsia="zh-CN" w:bidi="zh-CN"/>
              </w:rPr>
              <w:t>3.</w:t>
            </w:r>
            <w:r>
              <w:rPr>
                <w:rFonts w:hint="eastAsia" w:ascii="宋体" w:hAnsi="宋体" w:eastAsia="宋体" w:cs="宋体"/>
                <w:b w:val="0"/>
                <w:bCs w:val="0"/>
                <w:color w:val="auto"/>
                <w:kern w:val="2"/>
                <w:sz w:val="21"/>
                <w:szCs w:val="21"/>
                <w:highlight w:val="none"/>
                <w:lang w:val="en-US" w:eastAsia="zh-CN" w:bidi="zh-CN"/>
              </w:rPr>
              <w:t>理解与描述</w:t>
            </w:r>
            <w:r>
              <w:rPr>
                <w:rFonts w:hint="eastAsia" w:ascii="宋体" w:hAnsi="宋体" w:cs="宋体"/>
                <w:b w:val="0"/>
                <w:bCs w:val="0"/>
                <w:color w:val="auto"/>
                <w:kern w:val="2"/>
                <w:sz w:val="21"/>
                <w:szCs w:val="21"/>
                <w:highlight w:val="none"/>
                <w:lang w:val="en-US" w:eastAsia="zh-CN" w:bidi="zh-CN"/>
              </w:rPr>
              <w:t>基本</w:t>
            </w:r>
            <w:r>
              <w:rPr>
                <w:rFonts w:hint="eastAsia" w:ascii="宋体" w:hAnsi="宋体" w:eastAsia="宋体" w:cs="宋体"/>
                <w:b w:val="0"/>
                <w:bCs w:val="0"/>
                <w:color w:val="auto"/>
                <w:kern w:val="2"/>
                <w:sz w:val="21"/>
                <w:szCs w:val="21"/>
                <w:highlight w:val="none"/>
                <w:lang w:val="en-US" w:eastAsia="zh-CN" w:bidi="zh-CN"/>
              </w:rPr>
              <w:t>准确</w:t>
            </w:r>
            <w:r>
              <w:rPr>
                <w:rFonts w:hint="eastAsia" w:ascii="宋体" w:hAnsi="宋体" w:cs="宋体"/>
                <w:b w:val="0"/>
                <w:bCs w:val="0"/>
                <w:color w:val="auto"/>
                <w:kern w:val="2"/>
                <w:sz w:val="21"/>
                <w:szCs w:val="21"/>
                <w:highlight w:val="none"/>
                <w:lang w:val="en-US" w:eastAsia="zh-CN" w:bidi="zh-CN"/>
              </w:rPr>
              <w:t>的得2分</w:t>
            </w:r>
          </w:p>
          <w:p w14:paraId="46555461">
            <w:pPr>
              <w:widowControl/>
              <w:spacing w:line="360" w:lineRule="auto"/>
              <w:jc w:val="left"/>
              <w:rPr>
                <w:rFonts w:hint="eastAsia" w:ascii="宋体" w:hAnsi="宋体" w:eastAsia="宋体" w:cs="宋体"/>
                <w:b w:val="0"/>
                <w:bCs w:val="0"/>
                <w:color w:val="auto"/>
                <w:kern w:val="2"/>
                <w:sz w:val="21"/>
                <w:szCs w:val="21"/>
                <w:highlight w:val="none"/>
                <w:lang w:val="en-US" w:eastAsia="zh-CN" w:bidi="zh-CN"/>
              </w:rPr>
            </w:pPr>
            <w:r>
              <w:rPr>
                <w:rFonts w:hint="eastAsia" w:ascii="宋体" w:hAnsi="宋体" w:cs="宋体"/>
                <w:b w:val="0"/>
                <w:bCs w:val="0"/>
                <w:color w:val="auto"/>
                <w:kern w:val="2"/>
                <w:sz w:val="21"/>
                <w:szCs w:val="21"/>
                <w:highlight w:val="none"/>
                <w:lang w:val="en-US" w:eastAsia="zh-CN" w:bidi="zh-CN"/>
              </w:rPr>
              <w:t>4</w:t>
            </w:r>
            <w:r>
              <w:rPr>
                <w:rFonts w:hint="eastAsia" w:ascii="宋体" w:hAnsi="宋体" w:eastAsia="宋体" w:cs="宋体"/>
                <w:b w:val="0"/>
                <w:bCs w:val="0"/>
                <w:color w:val="auto"/>
                <w:kern w:val="2"/>
                <w:sz w:val="21"/>
                <w:szCs w:val="21"/>
                <w:highlight w:val="none"/>
                <w:lang w:val="en-US" w:eastAsia="zh-CN" w:bidi="zh-CN"/>
              </w:rPr>
              <w:t>.理解与描述一般与项目情况出现偏差得1分。</w:t>
            </w:r>
            <w:r>
              <w:rPr>
                <w:rFonts w:hint="eastAsia" w:ascii="宋体" w:hAnsi="宋体" w:eastAsia="宋体" w:cs="宋体"/>
                <w:b w:val="0"/>
                <w:bCs w:val="0"/>
                <w:color w:val="auto"/>
                <w:kern w:val="2"/>
                <w:sz w:val="21"/>
                <w:szCs w:val="21"/>
                <w:highlight w:val="none"/>
                <w:lang w:val="en-US" w:eastAsia="zh-CN" w:bidi="zh-CN"/>
              </w:rPr>
              <w:br w:type="textWrapping"/>
            </w:r>
            <w:r>
              <w:rPr>
                <w:rFonts w:hint="eastAsia" w:ascii="宋体" w:hAnsi="宋体" w:cs="宋体"/>
                <w:b w:val="0"/>
                <w:bCs w:val="0"/>
                <w:color w:val="auto"/>
                <w:kern w:val="2"/>
                <w:sz w:val="21"/>
                <w:szCs w:val="21"/>
                <w:highlight w:val="none"/>
                <w:lang w:val="en-US" w:eastAsia="zh-CN" w:bidi="zh-CN"/>
              </w:rPr>
              <w:t>5</w:t>
            </w:r>
            <w:r>
              <w:rPr>
                <w:rFonts w:hint="eastAsia" w:ascii="宋体" w:hAnsi="宋体" w:eastAsia="宋体" w:cs="宋体"/>
                <w:b w:val="0"/>
                <w:bCs w:val="0"/>
                <w:color w:val="auto"/>
                <w:kern w:val="2"/>
                <w:sz w:val="21"/>
                <w:szCs w:val="21"/>
                <w:highlight w:val="none"/>
                <w:lang w:val="en-US" w:eastAsia="zh-CN" w:bidi="zh-CN"/>
              </w:rPr>
              <w:t>.无运维项目理解重点难点分析不得分；</w:t>
            </w:r>
          </w:p>
        </w:tc>
      </w:tr>
      <w:tr w14:paraId="7D9F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5" w:type="dxa"/>
            <w:vMerge w:val="continue"/>
            <w:noWrap w:val="0"/>
            <w:vAlign w:val="center"/>
          </w:tcPr>
          <w:p w14:paraId="0CAFA412">
            <w:pPr>
              <w:pStyle w:val="28"/>
              <w:keepLines w:val="0"/>
              <w:pageBreakBefore w:val="0"/>
              <w:widowControl w:val="0"/>
              <w:tabs>
                <w:tab w:val="left" w:pos="635"/>
              </w:tabs>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z w:val="21"/>
                <w:szCs w:val="21"/>
                <w:highlight w:val="none"/>
              </w:rPr>
            </w:pPr>
            <w:bookmarkStart w:id="119" w:name="_Toc7053"/>
          </w:p>
        </w:tc>
        <w:tc>
          <w:tcPr>
            <w:tcW w:w="1492" w:type="dxa"/>
            <w:noWrap w:val="0"/>
            <w:vAlign w:val="center"/>
          </w:tcPr>
          <w:p w14:paraId="31C47293">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运维方案</w:t>
            </w:r>
          </w:p>
          <w:p w14:paraId="596BF8DE">
            <w:pPr>
              <w:widowControl/>
              <w:spacing w:line="360" w:lineRule="auto"/>
              <w:jc w:val="center"/>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7211" w:type="dxa"/>
            <w:noWrap w:val="0"/>
            <w:vAlign w:val="center"/>
          </w:tcPr>
          <w:p w14:paraId="0C03EF12">
            <w:pPr>
              <w:widowControl/>
              <w:spacing w:line="360" w:lineRule="auto"/>
              <w:jc w:val="left"/>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供应商根据招标文件确定的运维区域、站点情况制定运维方案，包括设备性能、运维任务判别、运维计划、运维质量、保障等，运维方案要素的得</w:t>
            </w:r>
            <w:r>
              <w:rPr>
                <w:rFonts w:hint="eastAsia" w:ascii="宋体" w:hAnsi="宋体" w:cs="宋体"/>
                <w:b w:val="0"/>
                <w:bCs w:val="0"/>
                <w:color w:val="auto"/>
                <w:kern w:val="2"/>
                <w:sz w:val="21"/>
                <w:szCs w:val="21"/>
                <w:highlight w:val="none"/>
                <w:lang w:val="en-US" w:eastAsia="zh-CN" w:bidi="zh-CN"/>
              </w:rPr>
              <w:t>8</w:t>
            </w:r>
            <w:r>
              <w:rPr>
                <w:rFonts w:hint="eastAsia" w:ascii="宋体" w:hAnsi="宋体" w:eastAsia="宋体" w:cs="宋体"/>
                <w:b w:val="0"/>
                <w:bCs w:val="0"/>
                <w:color w:val="auto"/>
                <w:kern w:val="2"/>
                <w:sz w:val="21"/>
                <w:szCs w:val="21"/>
                <w:highlight w:val="none"/>
                <w:lang w:val="en-US" w:eastAsia="zh-CN" w:bidi="zh-CN"/>
              </w:rPr>
              <w:t>分；</w:t>
            </w:r>
          </w:p>
          <w:p w14:paraId="0D86F758">
            <w:pPr>
              <w:widowControl/>
              <w:spacing w:line="360" w:lineRule="auto"/>
              <w:jc w:val="left"/>
              <w:rPr>
                <w:rFonts w:hint="default" w:ascii="宋体" w:hAnsi="宋体" w:eastAsia="宋体" w:cs="宋体"/>
                <w:b w:val="0"/>
                <w:bCs w:val="0"/>
                <w:color w:val="auto"/>
                <w:kern w:val="2"/>
                <w:sz w:val="21"/>
                <w:szCs w:val="21"/>
                <w:highlight w:val="none"/>
                <w:lang w:val="en-US" w:eastAsia="zh-CN" w:bidi="zh-CN"/>
              </w:rPr>
            </w:pPr>
            <w:r>
              <w:rPr>
                <w:rFonts w:hint="default" w:ascii="宋体" w:hAnsi="宋体" w:eastAsia="宋体" w:cs="宋体"/>
                <w:b w:val="0"/>
                <w:bCs w:val="0"/>
                <w:color w:val="auto"/>
                <w:kern w:val="2"/>
                <w:sz w:val="21"/>
                <w:szCs w:val="21"/>
                <w:highlight w:val="none"/>
                <w:lang w:val="en-US" w:eastAsia="zh-CN" w:bidi="zh-CN"/>
              </w:rPr>
              <w:t>未提供方案或所提供方案不满足要求得0分。</w:t>
            </w:r>
          </w:p>
        </w:tc>
      </w:tr>
      <w:tr w14:paraId="198B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5" w:type="dxa"/>
            <w:vMerge w:val="continue"/>
            <w:noWrap w:val="0"/>
            <w:vAlign w:val="center"/>
          </w:tcPr>
          <w:p w14:paraId="0C0E6F7B">
            <w:pPr>
              <w:pStyle w:val="28"/>
              <w:keepLines w:val="0"/>
              <w:pageBreakBefore w:val="0"/>
              <w:widowControl w:val="0"/>
              <w:tabs>
                <w:tab w:val="left" w:pos="635"/>
              </w:tabs>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z w:val="21"/>
                <w:szCs w:val="21"/>
                <w:highlight w:val="none"/>
              </w:rPr>
            </w:pPr>
          </w:p>
        </w:tc>
        <w:tc>
          <w:tcPr>
            <w:tcW w:w="1492" w:type="dxa"/>
            <w:noWrap w:val="0"/>
            <w:vAlign w:val="center"/>
          </w:tcPr>
          <w:p w14:paraId="33495A27">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组织实施方</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案</w:t>
            </w:r>
          </w:p>
          <w:p w14:paraId="353B4B12">
            <w:pPr>
              <w:widowControl/>
              <w:spacing w:line="36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7211" w:type="dxa"/>
            <w:noWrap w:val="0"/>
            <w:vAlign w:val="center"/>
          </w:tcPr>
          <w:p w14:paraId="06CACABF">
            <w:pPr>
              <w:widowControl/>
              <w:spacing w:line="360" w:lineRule="auto"/>
              <w:jc w:val="left"/>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供应商有详细的、切实可行的实施组织计划、进度计划、项目管理人员，材料、设备采购计划的得</w:t>
            </w:r>
            <w:r>
              <w:rPr>
                <w:rFonts w:hint="eastAsia" w:ascii="宋体" w:hAnsi="宋体" w:cs="宋体"/>
                <w:b w:val="0"/>
                <w:bCs w:val="0"/>
                <w:color w:val="auto"/>
                <w:kern w:val="2"/>
                <w:sz w:val="21"/>
                <w:szCs w:val="21"/>
                <w:highlight w:val="none"/>
                <w:lang w:val="en-US" w:eastAsia="zh-CN" w:bidi="zh-CN"/>
              </w:rPr>
              <w:t>6</w:t>
            </w:r>
            <w:r>
              <w:rPr>
                <w:rFonts w:hint="eastAsia" w:ascii="宋体" w:hAnsi="宋体" w:eastAsia="宋体" w:cs="宋体"/>
                <w:b w:val="0"/>
                <w:bCs w:val="0"/>
                <w:color w:val="auto"/>
                <w:kern w:val="2"/>
                <w:sz w:val="21"/>
                <w:szCs w:val="21"/>
                <w:highlight w:val="none"/>
                <w:lang w:val="en-US" w:eastAsia="zh-CN" w:bidi="zh-CN"/>
              </w:rPr>
              <w:t>分；</w:t>
            </w:r>
          </w:p>
          <w:p w14:paraId="4CD8AB1C">
            <w:pPr>
              <w:widowControl/>
              <w:spacing w:line="360" w:lineRule="auto"/>
              <w:jc w:val="left"/>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未提供方案或所提供方案不满足要求得0分。</w:t>
            </w:r>
          </w:p>
        </w:tc>
      </w:tr>
      <w:tr w14:paraId="30E7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5" w:type="dxa"/>
            <w:vMerge w:val="continue"/>
            <w:noWrap w:val="0"/>
            <w:vAlign w:val="center"/>
          </w:tcPr>
          <w:p w14:paraId="62C9EAA0">
            <w:pPr>
              <w:pStyle w:val="28"/>
              <w:keepLines w:val="0"/>
              <w:pageBreakBefore w:val="0"/>
              <w:widowControl w:val="0"/>
              <w:tabs>
                <w:tab w:val="left" w:pos="635"/>
              </w:tabs>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z w:val="21"/>
                <w:szCs w:val="21"/>
                <w:highlight w:val="none"/>
              </w:rPr>
            </w:pPr>
          </w:p>
        </w:tc>
        <w:tc>
          <w:tcPr>
            <w:tcW w:w="1492" w:type="dxa"/>
            <w:noWrap w:val="0"/>
            <w:vAlign w:val="center"/>
          </w:tcPr>
          <w:p w14:paraId="1C9B1738">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应急预案</w:t>
            </w:r>
          </w:p>
          <w:p w14:paraId="6ECA3943">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7211" w:type="dxa"/>
            <w:noWrap w:val="0"/>
            <w:vAlign w:val="center"/>
          </w:tcPr>
          <w:p w14:paraId="0AD3C291">
            <w:pPr>
              <w:widowControl/>
              <w:spacing w:line="360" w:lineRule="auto"/>
              <w:jc w:val="left"/>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根据供应商提供的应急预案（含应急分类、判别与处置），对运维期间如出现严重影响系统运行和数据质量的重大问题时，是否具备有效的预防和补救措施，并制定了异常数据监控制度和处理处置方法。对应急工作进行了合理规划并制定可行计划，同时列出各种应急情景、发现应急情况的方法、应急措施及解决方案，系统地阐述判断和解决方法，制定完善的工作流程，能完全满足采购需求，能较好应对可能的突发情况的得</w:t>
            </w:r>
            <w:r>
              <w:rPr>
                <w:rFonts w:hint="eastAsia" w:ascii="宋体" w:hAnsi="宋体" w:cs="宋体"/>
                <w:b w:val="0"/>
                <w:bCs w:val="0"/>
                <w:color w:val="auto"/>
                <w:kern w:val="2"/>
                <w:sz w:val="21"/>
                <w:szCs w:val="21"/>
                <w:highlight w:val="none"/>
                <w:lang w:val="en-US" w:eastAsia="zh-CN" w:bidi="zh-CN"/>
              </w:rPr>
              <w:t>7</w:t>
            </w:r>
            <w:r>
              <w:rPr>
                <w:rFonts w:hint="eastAsia" w:ascii="宋体" w:hAnsi="宋体" w:eastAsia="宋体" w:cs="宋体"/>
                <w:b w:val="0"/>
                <w:bCs w:val="0"/>
                <w:color w:val="auto"/>
                <w:kern w:val="2"/>
                <w:sz w:val="21"/>
                <w:szCs w:val="21"/>
                <w:highlight w:val="none"/>
                <w:lang w:val="en-US" w:eastAsia="zh-CN" w:bidi="zh-CN"/>
              </w:rPr>
              <w:t>分；</w:t>
            </w:r>
            <w:r>
              <w:rPr>
                <w:rFonts w:hint="eastAsia" w:ascii="宋体" w:hAnsi="宋体" w:eastAsia="宋体" w:cs="宋体"/>
                <w:b w:val="0"/>
                <w:bCs w:val="0"/>
                <w:color w:val="auto"/>
                <w:kern w:val="2"/>
                <w:sz w:val="21"/>
                <w:szCs w:val="21"/>
                <w:highlight w:val="none"/>
                <w:lang w:val="en-US" w:eastAsia="zh-CN" w:bidi="zh-CN"/>
              </w:rPr>
              <w:br w:type="textWrapping"/>
            </w:r>
            <w:r>
              <w:rPr>
                <w:rFonts w:hint="eastAsia" w:ascii="宋体" w:hAnsi="宋体" w:eastAsia="宋体" w:cs="宋体"/>
                <w:b w:val="0"/>
                <w:bCs w:val="0"/>
                <w:color w:val="auto"/>
                <w:kern w:val="2"/>
                <w:sz w:val="21"/>
                <w:szCs w:val="21"/>
                <w:highlight w:val="none"/>
                <w:lang w:val="en-US" w:eastAsia="zh-CN" w:bidi="zh-CN"/>
              </w:rPr>
              <w:t>未提供方案或所提供方案不满足要求得0分。</w:t>
            </w:r>
          </w:p>
        </w:tc>
      </w:tr>
      <w:tr w14:paraId="501E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5" w:type="dxa"/>
            <w:vMerge w:val="continue"/>
            <w:noWrap w:val="0"/>
            <w:vAlign w:val="center"/>
          </w:tcPr>
          <w:p w14:paraId="1785E348">
            <w:pPr>
              <w:pStyle w:val="28"/>
              <w:keepLines w:val="0"/>
              <w:pageBreakBefore w:val="0"/>
              <w:widowControl w:val="0"/>
              <w:tabs>
                <w:tab w:val="left" w:pos="635"/>
              </w:tabs>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z w:val="21"/>
                <w:szCs w:val="21"/>
                <w:highlight w:val="none"/>
              </w:rPr>
            </w:pPr>
          </w:p>
        </w:tc>
        <w:tc>
          <w:tcPr>
            <w:tcW w:w="1492" w:type="dxa"/>
            <w:noWrap w:val="0"/>
            <w:vAlign w:val="center"/>
          </w:tcPr>
          <w:p w14:paraId="64A8F27A">
            <w:pPr>
              <w:widowControl/>
              <w:spacing w:line="360" w:lineRule="auto"/>
              <w:jc w:val="center"/>
              <w:rPr>
                <w:rFonts w:hint="eastAsia" w:ascii="宋体" w:hAnsi="宋体" w:cs="宋体"/>
                <w:b w:val="0"/>
                <w:bCs w:val="0"/>
                <w:color w:val="auto"/>
                <w:kern w:val="2"/>
                <w:sz w:val="21"/>
                <w:szCs w:val="21"/>
                <w:highlight w:val="none"/>
                <w:lang w:val="en-US" w:eastAsia="zh-CN" w:bidi="zh-CN"/>
              </w:rPr>
            </w:pPr>
            <w:r>
              <w:rPr>
                <w:rFonts w:hint="eastAsia" w:ascii="宋体" w:hAnsi="宋体" w:cs="宋体"/>
                <w:b w:val="0"/>
                <w:bCs w:val="0"/>
                <w:color w:val="auto"/>
                <w:kern w:val="2"/>
                <w:sz w:val="21"/>
                <w:szCs w:val="21"/>
                <w:highlight w:val="none"/>
                <w:lang w:val="en-US" w:eastAsia="zh-CN" w:bidi="zh-CN"/>
              </w:rPr>
              <w:t>资产保管</w:t>
            </w:r>
          </w:p>
          <w:p w14:paraId="40699A0A">
            <w:pPr>
              <w:widowControl/>
              <w:spacing w:line="360" w:lineRule="auto"/>
              <w:jc w:val="center"/>
              <w:rPr>
                <w:rFonts w:hint="eastAsia" w:ascii="宋体" w:hAnsi="宋体" w:cs="宋体"/>
                <w:b w:val="0"/>
                <w:bCs w:val="0"/>
                <w:color w:val="auto"/>
                <w:kern w:val="2"/>
                <w:sz w:val="21"/>
                <w:szCs w:val="21"/>
                <w:highlight w:val="none"/>
                <w:lang w:val="en-US" w:eastAsia="zh-CN" w:bidi="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7211" w:type="dxa"/>
            <w:noWrap w:val="0"/>
            <w:vAlign w:val="center"/>
          </w:tcPr>
          <w:p w14:paraId="24FCA89B">
            <w:pPr>
              <w:widowControl/>
              <w:spacing w:line="360" w:lineRule="auto"/>
              <w:jc w:val="left"/>
              <w:rPr>
                <w:rFonts w:hint="eastAsia" w:ascii="宋体" w:hAnsi="宋体" w:cs="宋体"/>
                <w:b w:val="0"/>
                <w:bCs w:val="0"/>
                <w:color w:val="auto"/>
                <w:kern w:val="2"/>
                <w:sz w:val="21"/>
                <w:szCs w:val="21"/>
                <w:highlight w:val="none"/>
                <w:lang w:val="en-US" w:eastAsia="zh-CN" w:bidi="zh-CN"/>
              </w:rPr>
            </w:pPr>
            <w:r>
              <w:rPr>
                <w:rFonts w:hint="eastAsia" w:ascii="宋体" w:hAnsi="宋体" w:cs="宋体"/>
                <w:b w:val="0"/>
                <w:bCs w:val="0"/>
                <w:color w:val="auto"/>
                <w:kern w:val="2"/>
                <w:sz w:val="21"/>
                <w:szCs w:val="21"/>
                <w:highlight w:val="none"/>
                <w:lang w:val="en-US" w:eastAsia="zh-CN" w:bidi="zh-CN"/>
              </w:rPr>
              <w:t>投标人具有对协助做好空气检测站资产保管等工作，做好空气检测站日常24h监控，填写监控记录等内容的承诺的得6分。</w:t>
            </w:r>
          </w:p>
          <w:p w14:paraId="2DBD0EB1">
            <w:pPr>
              <w:widowControl/>
              <w:spacing w:line="360" w:lineRule="auto"/>
              <w:jc w:val="left"/>
              <w:rPr>
                <w:rFonts w:hint="eastAsia" w:ascii="宋体" w:hAnsi="宋体" w:cs="宋体"/>
                <w:b w:val="0"/>
                <w:bCs w:val="0"/>
                <w:color w:val="auto"/>
                <w:kern w:val="2"/>
                <w:sz w:val="21"/>
                <w:szCs w:val="21"/>
                <w:highlight w:val="none"/>
                <w:lang w:val="en-US" w:eastAsia="zh-CN" w:bidi="zh-CN"/>
              </w:rPr>
            </w:pPr>
            <w:r>
              <w:rPr>
                <w:rFonts w:hint="eastAsia" w:ascii="宋体" w:hAnsi="宋体" w:cs="宋体"/>
                <w:b w:val="0"/>
                <w:bCs w:val="0"/>
                <w:color w:val="auto"/>
                <w:kern w:val="2"/>
                <w:sz w:val="21"/>
                <w:szCs w:val="21"/>
                <w:highlight w:val="none"/>
                <w:lang w:val="en-US" w:eastAsia="zh-CN" w:bidi="zh-CN"/>
              </w:rPr>
              <w:t>注：须提供承诺函，格式自定，未提供相关内容的得0分。</w:t>
            </w:r>
          </w:p>
        </w:tc>
      </w:tr>
      <w:tr w14:paraId="0AD5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195" w:type="dxa"/>
            <w:vMerge w:val="continue"/>
            <w:noWrap w:val="0"/>
            <w:vAlign w:val="center"/>
          </w:tcPr>
          <w:p w14:paraId="5416ED1B">
            <w:pPr>
              <w:pStyle w:val="28"/>
              <w:keepLines w:val="0"/>
              <w:pageBreakBefore w:val="0"/>
              <w:widowControl w:val="0"/>
              <w:tabs>
                <w:tab w:val="left" w:pos="635"/>
              </w:tabs>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z w:val="21"/>
                <w:szCs w:val="21"/>
                <w:highlight w:val="none"/>
              </w:rPr>
            </w:pPr>
          </w:p>
        </w:tc>
        <w:tc>
          <w:tcPr>
            <w:tcW w:w="1492" w:type="dxa"/>
            <w:noWrap w:val="0"/>
            <w:vAlign w:val="center"/>
          </w:tcPr>
          <w:p w14:paraId="727A4632">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运维服务质</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量保障措施</w:t>
            </w:r>
          </w:p>
          <w:p w14:paraId="69A765FA">
            <w:pPr>
              <w:widowControl/>
              <w:spacing w:line="36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7211" w:type="dxa"/>
            <w:noWrap w:val="0"/>
            <w:vAlign w:val="center"/>
          </w:tcPr>
          <w:p w14:paraId="26012802">
            <w:pPr>
              <w:widowControl/>
              <w:spacing w:line="360" w:lineRule="auto"/>
              <w:jc w:val="left"/>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供应商按照《环境空气质量自动监测技术规范》要求，建立完善的质量保证和质量控制体系，制定完善的针对每个监测指标的质控措施</w:t>
            </w:r>
            <w:r>
              <w:rPr>
                <w:rFonts w:hint="eastAsia" w:ascii="宋体" w:hAnsi="宋体" w:cs="宋体"/>
                <w:b w:val="0"/>
                <w:bCs w:val="0"/>
                <w:color w:val="auto"/>
                <w:kern w:val="2"/>
                <w:sz w:val="21"/>
                <w:szCs w:val="21"/>
                <w:highlight w:val="none"/>
                <w:lang w:val="en-US" w:eastAsia="zh-CN" w:bidi="zh-CN"/>
              </w:rPr>
              <w:t>，</w:t>
            </w:r>
            <w:r>
              <w:rPr>
                <w:rFonts w:hint="eastAsia" w:ascii="宋体" w:hAnsi="宋体" w:eastAsia="宋体" w:cs="宋体"/>
                <w:b w:val="0"/>
                <w:bCs w:val="0"/>
                <w:color w:val="auto"/>
                <w:kern w:val="2"/>
                <w:sz w:val="21"/>
                <w:szCs w:val="21"/>
                <w:highlight w:val="none"/>
                <w:lang w:val="en-US" w:eastAsia="zh-CN" w:bidi="zh-CN"/>
              </w:rPr>
              <w:t>符合采购需求，高效保证运维质量</w:t>
            </w:r>
            <w:r>
              <w:rPr>
                <w:rFonts w:hint="eastAsia" w:ascii="宋体" w:hAnsi="宋体" w:cs="宋体"/>
                <w:b w:val="0"/>
                <w:bCs w:val="0"/>
                <w:color w:val="auto"/>
                <w:kern w:val="2"/>
                <w:sz w:val="21"/>
                <w:szCs w:val="21"/>
                <w:highlight w:val="none"/>
                <w:lang w:val="en-US" w:eastAsia="zh-CN" w:bidi="zh-CN"/>
              </w:rPr>
              <w:t>的</w:t>
            </w:r>
            <w:r>
              <w:rPr>
                <w:rFonts w:hint="eastAsia" w:ascii="宋体" w:hAnsi="宋体" w:eastAsia="宋体" w:cs="宋体"/>
                <w:b w:val="0"/>
                <w:bCs w:val="0"/>
                <w:color w:val="auto"/>
                <w:kern w:val="2"/>
                <w:sz w:val="21"/>
                <w:szCs w:val="21"/>
                <w:highlight w:val="none"/>
                <w:lang w:val="en-US" w:eastAsia="zh-CN" w:bidi="zh-CN"/>
              </w:rPr>
              <w:t>得</w:t>
            </w:r>
            <w:r>
              <w:rPr>
                <w:rFonts w:hint="eastAsia" w:ascii="宋体" w:hAnsi="宋体" w:cs="宋体"/>
                <w:b w:val="0"/>
                <w:bCs w:val="0"/>
                <w:color w:val="auto"/>
                <w:kern w:val="2"/>
                <w:sz w:val="21"/>
                <w:szCs w:val="21"/>
                <w:highlight w:val="none"/>
                <w:lang w:val="en-US" w:eastAsia="zh-CN" w:bidi="zh-CN"/>
              </w:rPr>
              <w:t>6</w:t>
            </w:r>
            <w:r>
              <w:rPr>
                <w:rFonts w:hint="eastAsia" w:ascii="宋体" w:hAnsi="宋体" w:eastAsia="宋体" w:cs="宋体"/>
                <w:b w:val="0"/>
                <w:bCs w:val="0"/>
                <w:color w:val="auto"/>
                <w:kern w:val="2"/>
                <w:sz w:val="21"/>
                <w:szCs w:val="21"/>
                <w:highlight w:val="none"/>
                <w:lang w:val="en-US" w:eastAsia="zh-CN" w:bidi="zh-CN"/>
              </w:rPr>
              <w:t>分；</w:t>
            </w:r>
          </w:p>
          <w:p w14:paraId="1AC63BB0">
            <w:pPr>
              <w:widowControl/>
              <w:spacing w:line="360" w:lineRule="auto"/>
              <w:jc w:val="left"/>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不符合采购需求或未提供相关内容得0分。</w:t>
            </w:r>
          </w:p>
        </w:tc>
      </w:tr>
      <w:tr w14:paraId="075F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5" w:type="dxa"/>
            <w:vMerge w:val="continue"/>
            <w:noWrap w:val="0"/>
            <w:vAlign w:val="center"/>
          </w:tcPr>
          <w:p w14:paraId="289F8C3C">
            <w:pPr>
              <w:pStyle w:val="28"/>
              <w:keepLines w:val="0"/>
              <w:pageBreakBefore w:val="0"/>
              <w:widowControl w:val="0"/>
              <w:tabs>
                <w:tab w:val="left" w:pos="635"/>
              </w:tabs>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z w:val="21"/>
                <w:szCs w:val="21"/>
                <w:highlight w:val="none"/>
              </w:rPr>
            </w:pPr>
          </w:p>
        </w:tc>
        <w:tc>
          <w:tcPr>
            <w:tcW w:w="1492" w:type="dxa"/>
            <w:noWrap w:val="0"/>
            <w:vAlign w:val="center"/>
          </w:tcPr>
          <w:p w14:paraId="1C8D63E2">
            <w:pPr>
              <w:widowControl/>
              <w:spacing w:line="360" w:lineRule="auto"/>
              <w:jc w:val="center"/>
              <w:rPr>
                <w:rFonts w:hint="default"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运维措施制定情况</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7211" w:type="dxa"/>
            <w:noWrap w:val="0"/>
            <w:vAlign w:val="center"/>
          </w:tcPr>
          <w:p w14:paraId="50855602">
            <w:pPr>
              <w:widowControl/>
              <w:spacing w:line="360" w:lineRule="auto"/>
              <w:jc w:val="left"/>
              <w:rPr>
                <w:rFonts w:hint="default"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运维措施应包括空气站运维操作规范和规章制度制定情况，具体机构管理、日常维护、定期巡检和故障维修等措施，日常运行维护记录的各种表格。</w:t>
            </w:r>
            <w:r>
              <w:rPr>
                <w:rFonts w:hint="eastAsia" w:ascii="宋体" w:hAnsi="宋体" w:eastAsia="宋体" w:cs="宋体"/>
                <w:b w:val="0"/>
                <w:bCs w:val="0"/>
                <w:color w:val="auto"/>
                <w:kern w:val="2"/>
                <w:sz w:val="21"/>
                <w:szCs w:val="21"/>
                <w:highlight w:val="none"/>
                <w:lang w:val="en-US" w:eastAsia="zh-CN" w:bidi="zh-CN"/>
              </w:rPr>
              <w:br w:type="textWrapping"/>
            </w:r>
            <w:r>
              <w:rPr>
                <w:rFonts w:hint="eastAsia" w:ascii="宋体" w:hAnsi="宋体" w:cs="宋体"/>
                <w:b w:val="0"/>
                <w:bCs w:val="0"/>
                <w:color w:val="auto"/>
                <w:kern w:val="2"/>
                <w:sz w:val="21"/>
                <w:szCs w:val="21"/>
                <w:highlight w:val="none"/>
                <w:lang w:val="en-US" w:eastAsia="zh-CN" w:bidi="zh-CN"/>
              </w:rPr>
              <w:t>1.</w:t>
            </w:r>
            <w:r>
              <w:rPr>
                <w:rFonts w:hint="eastAsia" w:ascii="宋体" w:hAnsi="宋体" w:eastAsia="宋体" w:cs="宋体"/>
                <w:b w:val="0"/>
                <w:bCs w:val="0"/>
                <w:color w:val="auto"/>
                <w:kern w:val="2"/>
                <w:sz w:val="21"/>
                <w:szCs w:val="21"/>
                <w:highlight w:val="none"/>
                <w:lang w:val="en-US" w:eastAsia="zh-CN" w:bidi="zh-CN"/>
              </w:rPr>
              <w:t>制定详细且严谨的规章制度，提供了详细具体的日常维护方案、定期巡检方案和故障维修方案，方案合理可行，实操性强，完全满足采购需求</w:t>
            </w:r>
            <w:r>
              <w:rPr>
                <w:rFonts w:hint="eastAsia" w:ascii="宋体" w:hAnsi="宋体" w:cs="宋体"/>
                <w:b w:val="0"/>
                <w:bCs w:val="0"/>
                <w:color w:val="auto"/>
                <w:kern w:val="2"/>
                <w:sz w:val="21"/>
                <w:szCs w:val="21"/>
                <w:highlight w:val="none"/>
                <w:lang w:val="en-US" w:eastAsia="zh-CN" w:bidi="zh-CN"/>
              </w:rPr>
              <w:t>的</w:t>
            </w:r>
            <w:r>
              <w:rPr>
                <w:rFonts w:hint="eastAsia" w:ascii="宋体" w:hAnsi="宋体" w:eastAsia="宋体" w:cs="宋体"/>
                <w:b w:val="0"/>
                <w:bCs w:val="0"/>
                <w:color w:val="auto"/>
                <w:kern w:val="2"/>
                <w:sz w:val="21"/>
                <w:szCs w:val="21"/>
                <w:highlight w:val="none"/>
                <w:lang w:val="en-US" w:eastAsia="zh-CN" w:bidi="zh-CN"/>
              </w:rPr>
              <w:t>得</w:t>
            </w:r>
            <w:r>
              <w:rPr>
                <w:rFonts w:hint="eastAsia" w:ascii="宋体" w:hAnsi="宋体" w:cs="宋体"/>
                <w:b w:val="0"/>
                <w:bCs w:val="0"/>
                <w:color w:val="auto"/>
                <w:kern w:val="2"/>
                <w:sz w:val="21"/>
                <w:szCs w:val="21"/>
                <w:highlight w:val="none"/>
                <w:lang w:val="en-US" w:eastAsia="zh-CN" w:bidi="zh-CN"/>
              </w:rPr>
              <w:t>5</w:t>
            </w:r>
            <w:r>
              <w:rPr>
                <w:rFonts w:hint="eastAsia" w:ascii="宋体" w:hAnsi="宋体" w:eastAsia="宋体" w:cs="宋体"/>
                <w:b w:val="0"/>
                <w:bCs w:val="0"/>
                <w:color w:val="auto"/>
                <w:kern w:val="2"/>
                <w:sz w:val="21"/>
                <w:szCs w:val="21"/>
                <w:highlight w:val="none"/>
                <w:lang w:val="en-US" w:eastAsia="zh-CN" w:bidi="zh-CN"/>
              </w:rPr>
              <w:t>分；</w:t>
            </w:r>
            <w:r>
              <w:rPr>
                <w:rFonts w:hint="eastAsia" w:ascii="宋体" w:hAnsi="宋体" w:eastAsia="宋体" w:cs="宋体"/>
                <w:b w:val="0"/>
                <w:bCs w:val="0"/>
                <w:color w:val="auto"/>
                <w:kern w:val="2"/>
                <w:sz w:val="21"/>
                <w:szCs w:val="21"/>
                <w:highlight w:val="none"/>
                <w:lang w:val="en-US" w:eastAsia="zh-CN" w:bidi="zh-CN"/>
              </w:rPr>
              <w:br w:type="textWrapping"/>
            </w:r>
            <w:r>
              <w:rPr>
                <w:rFonts w:hint="eastAsia" w:ascii="宋体" w:hAnsi="宋体" w:cs="宋体"/>
                <w:b w:val="0"/>
                <w:bCs w:val="0"/>
                <w:color w:val="auto"/>
                <w:kern w:val="2"/>
                <w:sz w:val="21"/>
                <w:szCs w:val="21"/>
                <w:highlight w:val="none"/>
                <w:lang w:val="en-US" w:eastAsia="zh-CN" w:bidi="zh-CN"/>
              </w:rPr>
              <w:t>2.</w:t>
            </w:r>
            <w:r>
              <w:rPr>
                <w:rFonts w:hint="eastAsia" w:ascii="宋体" w:hAnsi="宋体" w:eastAsia="宋体" w:cs="宋体"/>
                <w:b w:val="0"/>
                <w:bCs w:val="0"/>
                <w:color w:val="auto"/>
                <w:kern w:val="2"/>
                <w:sz w:val="21"/>
                <w:szCs w:val="21"/>
                <w:highlight w:val="none"/>
                <w:lang w:val="en-US" w:eastAsia="zh-CN" w:bidi="zh-CN"/>
              </w:rPr>
              <w:t>制定较详细的规章制度，提供了具体的日常维护方案、定期巡检方案和故障维修方案，方案</w:t>
            </w:r>
            <w:r>
              <w:rPr>
                <w:rFonts w:hint="eastAsia" w:ascii="宋体" w:hAnsi="宋体" w:cs="宋体"/>
                <w:b w:val="0"/>
                <w:bCs w:val="0"/>
                <w:color w:val="auto"/>
                <w:kern w:val="2"/>
                <w:sz w:val="21"/>
                <w:szCs w:val="21"/>
                <w:highlight w:val="none"/>
                <w:lang w:val="en-US" w:eastAsia="zh-CN" w:bidi="zh-CN"/>
              </w:rPr>
              <w:t>基本</w:t>
            </w:r>
            <w:r>
              <w:rPr>
                <w:rFonts w:hint="eastAsia" w:ascii="宋体" w:hAnsi="宋体" w:eastAsia="宋体" w:cs="宋体"/>
                <w:b w:val="0"/>
                <w:bCs w:val="0"/>
                <w:color w:val="auto"/>
                <w:kern w:val="2"/>
                <w:sz w:val="21"/>
                <w:szCs w:val="21"/>
                <w:highlight w:val="none"/>
                <w:lang w:val="en-US" w:eastAsia="zh-CN" w:bidi="zh-CN"/>
              </w:rPr>
              <w:t>合理可行，实操性较强，</w:t>
            </w:r>
            <w:r>
              <w:rPr>
                <w:rFonts w:hint="eastAsia" w:ascii="宋体" w:hAnsi="宋体" w:cs="宋体"/>
                <w:b w:val="0"/>
                <w:bCs w:val="0"/>
                <w:color w:val="auto"/>
                <w:kern w:val="2"/>
                <w:sz w:val="21"/>
                <w:szCs w:val="21"/>
                <w:highlight w:val="none"/>
                <w:lang w:val="en-US" w:eastAsia="zh-CN" w:bidi="zh-CN"/>
              </w:rPr>
              <w:t>基本</w:t>
            </w:r>
            <w:r>
              <w:rPr>
                <w:rFonts w:hint="eastAsia" w:ascii="宋体" w:hAnsi="宋体" w:eastAsia="宋体" w:cs="宋体"/>
                <w:b w:val="0"/>
                <w:bCs w:val="0"/>
                <w:color w:val="auto"/>
                <w:kern w:val="2"/>
                <w:sz w:val="21"/>
                <w:szCs w:val="21"/>
                <w:highlight w:val="none"/>
                <w:lang w:val="en-US" w:eastAsia="zh-CN" w:bidi="zh-CN"/>
              </w:rPr>
              <w:t>满足采购需求</w:t>
            </w:r>
            <w:r>
              <w:rPr>
                <w:rFonts w:hint="eastAsia" w:ascii="宋体" w:hAnsi="宋体" w:cs="宋体"/>
                <w:b w:val="0"/>
                <w:bCs w:val="0"/>
                <w:color w:val="auto"/>
                <w:kern w:val="2"/>
                <w:sz w:val="21"/>
                <w:szCs w:val="21"/>
                <w:highlight w:val="none"/>
                <w:lang w:val="en-US" w:eastAsia="zh-CN" w:bidi="zh-CN"/>
              </w:rPr>
              <w:t>的</w:t>
            </w:r>
            <w:r>
              <w:rPr>
                <w:rFonts w:hint="eastAsia" w:ascii="宋体" w:hAnsi="宋体" w:eastAsia="宋体" w:cs="宋体"/>
                <w:b w:val="0"/>
                <w:bCs w:val="0"/>
                <w:color w:val="auto"/>
                <w:kern w:val="2"/>
                <w:sz w:val="21"/>
                <w:szCs w:val="21"/>
                <w:highlight w:val="none"/>
                <w:lang w:val="en-US" w:eastAsia="zh-CN" w:bidi="zh-CN"/>
              </w:rPr>
              <w:t>得</w:t>
            </w:r>
            <w:r>
              <w:rPr>
                <w:rFonts w:hint="eastAsia" w:ascii="宋体" w:hAnsi="宋体" w:cs="宋体"/>
                <w:b w:val="0"/>
                <w:bCs w:val="0"/>
                <w:color w:val="auto"/>
                <w:kern w:val="2"/>
                <w:sz w:val="21"/>
                <w:szCs w:val="21"/>
                <w:highlight w:val="none"/>
                <w:lang w:val="en-US" w:eastAsia="zh-CN" w:bidi="zh-CN"/>
              </w:rPr>
              <w:t>3</w:t>
            </w:r>
            <w:r>
              <w:rPr>
                <w:rFonts w:hint="eastAsia" w:ascii="宋体" w:hAnsi="宋体" w:eastAsia="宋体" w:cs="宋体"/>
                <w:b w:val="0"/>
                <w:bCs w:val="0"/>
                <w:color w:val="auto"/>
                <w:kern w:val="2"/>
                <w:sz w:val="21"/>
                <w:szCs w:val="21"/>
                <w:highlight w:val="none"/>
                <w:lang w:val="en-US" w:eastAsia="zh-CN" w:bidi="zh-CN"/>
              </w:rPr>
              <w:t>分；</w:t>
            </w:r>
            <w:r>
              <w:rPr>
                <w:rFonts w:hint="eastAsia" w:ascii="宋体" w:hAnsi="宋体" w:eastAsia="宋体" w:cs="宋体"/>
                <w:b w:val="0"/>
                <w:bCs w:val="0"/>
                <w:color w:val="auto"/>
                <w:kern w:val="2"/>
                <w:sz w:val="21"/>
                <w:szCs w:val="21"/>
                <w:highlight w:val="none"/>
                <w:lang w:val="en-US" w:eastAsia="zh-CN" w:bidi="zh-CN"/>
              </w:rPr>
              <w:br w:type="textWrapping"/>
            </w:r>
            <w:r>
              <w:rPr>
                <w:rFonts w:hint="eastAsia" w:ascii="宋体" w:hAnsi="宋体" w:cs="宋体"/>
                <w:b w:val="0"/>
                <w:bCs w:val="0"/>
                <w:color w:val="auto"/>
                <w:kern w:val="2"/>
                <w:sz w:val="21"/>
                <w:szCs w:val="21"/>
                <w:highlight w:val="none"/>
                <w:lang w:val="en-US" w:eastAsia="zh-CN" w:bidi="zh-CN"/>
              </w:rPr>
              <w:t>3.</w:t>
            </w:r>
            <w:r>
              <w:rPr>
                <w:rFonts w:hint="eastAsia" w:ascii="宋体" w:hAnsi="宋体" w:eastAsia="宋体" w:cs="宋体"/>
                <w:b w:val="0"/>
                <w:bCs w:val="0"/>
                <w:color w:val="auto"/>
                <w:kern w:val="2"/>
                <w:sz w:val="21"/>
                <w:szCs w:val="21"/>
                <w:highlight w:val="none"/>
                <w:lang w:val="en-US" w:eastAsia="zh-CN" w:bidi="zh-CN"/>
              </w:rPr>
              <w:t>制定规章制度</w:t>
            </w:r>
            <w:r>
              <w:rPr>
                <w:rFonts w:hint="eastAsia" w:ascii="宋体" w:hAnsi="宋体" w:cs="宋体"/>
                <w:b w:val="0"/>
                <w:bCs w:val="0"/>
                <w:color w:val="auto"/>
                <w:kern w:val="2"/>
                <w:sz w:val="21"/>
                <w:szCs w:val="21"/>
                <w:highlight w:val="none"/>
                <w:lang w:val="en-US" w:eastAsia="zh-CN" w:bidi="zh-CN"/>
              </w:rPr>
              <w:t>一般</w:t>
            </w:r>
            <w:r>
              <w:rPr>
                <w:rFonts w:hint="eastAsia" w:ascii="宋体" w:hAnsi="宋体" w:eastAsia="宋体" w:cs="宋体"/>
                <w:b w:val="0"/>
                <w:bCs w:val="0"/>
                <w:color w:val="auto"/>
                <w:kern w:val="2"/>
                <w:sz w:val="21"/>
                <w:szCs w:val="21"/>
                <w:highlight w:val="none"/>
                <w:lang w:val="en-US" w:eastAsia="zh-CN" w:bidi="zh-CN"/>
              </w:rPr>
              <w:t>，提供的日常维护方案、定期巡检方案和故障维修方案，方案合理性可行性</w:t>
            </w:r>
            <w:r>
              <w:rPr>
                <w:rFonts w:hint="eastAsia" w:ascii="宋体" w:hAnsi="宋体" w:cs="宋体"/>
                <w:b w:val="0"/>
                <w:bCs w:val="0"/>
                <w:color w:val="auto"/>
                <w:kern w:val="2"/>
                <w:sz w:val="21"/>
                <w:szCs w:val="21"/>
                <w:highlight w:val="none"/>
                <w:lang w:val="en-US" w:eastAsia="zh-CN" w:bidi="zh-CN"/>
              </w:rPr>
              <w:t>一般的</w:t>
            </w:r>
            <w:r>
              <w:rPr>
                <w:rFonts w:hint="eastAsia" w:ascii="宋体" w:hAnsi="宋体" w:eastAsia="宋体" w:cs="宋体"/>
                <w:b w:val="0"/>
                <w:bCs w:val="0"/>
                <w:color w:val="auto"/>
                <w:kern w:val="2"/>
                <w:sz w:val="21"/>
                <w:szCs w:val="21"/>
                <w:highlight w:val="none"/>
                <w:lang w:val="en-US" w:eastAsia="zh-CN" w:bidi="zh-CN"/>
              </w:rPr>
              <w:t>得</w:t>
            </w:r>
            <w:r>
              <w:rPr>
                <w:rFonts w:hint="eastAsia" w:ascii="宋体" w:hAnsi="宋体" w:cs="宋体"/>
                <w:b w:val="0"/>
                <w:bCs w:val="0"/>
                <w:color w:val="auto"/>
                <w:kern w:val="2"/>
                <w:sz w:val="21"/>
                <w:szCs w:val="21"/>
                <w:highlight w:val="none"/>
                <w:lang w:val="en-US" w:eastAsia="zh-CN" w:bidi="zh-CN"/>
              </w:rPr>
              <w:t>2</w:t>
            </w:r>
            <w:r>
              <w:rPr>
                <w:rFonts w:hint="eastAsia" w:ascii="宋体" w:hAnsi="宋体" w:eastAsia="宋体" w:cs="宋体"/>
                <w:b w:val="0"/>
                <w:bCs w:val="0"/>
                <w:color w:val="auto"/>
                <w:kern w:val="2"/>
                <w:sz w:val="21"/>
                <w:szCs w:val="21"/>
                <w:highlight w:val="none"/>
                <w:lang w:val="en-US" w:eastAsia="zh-CN" w:bidi="zh-CN"/>
              </w:rPr>
              <w:t>分</w:t>
            </w:r>
          </w:p>
          <w:p w14:paraId="72B9BE44">
            <w:pPr>
              <w:widowControl/>
              <w:spacing w:line="360" w:lineRule="auto"/>
              <w:jc w:val="left"/>
              <w:rPr>
                <w:rFonts w:hint="eastAsia" w:ascii="宋体" w:hAnsi="宋体" w:eastAsia="宋体" w:cs="宋体"/>
                <w:b w:val="0"/>
                <w:bCs w:val="0"/>
                <w:color w:val="auto"/>
                <w:kern w:val="2"/>
                <w:sz w:val="21"/>
                <w:szCs w:val="21"/>
                <w:highlight w:val="none"/>
                <w:lang w:val="en-US" w:eastAsia="zh-CN" w:bidi="zh-CN"/>
              </w:rPr>
            </w:pPr>
            <w:r>
              <w:rPr>
                <w:rFonts w:hint="eastAsia" w:ascii="宋体" w:hAnsi="宋体" w:cs="宋体"/>
                <w:b w:val="0"/>
                <w:bCs w:val="0"/>
                <w:color w:val="auto"/>
                <w:kern w:val="2"/>
                <w:sz w:val="21"/>
                <w:szCs w:val="21"/>
                <w:highlight w:val="none"/>
                <w:lang w:val="en-US" w:eastAsia="zh-CN" w:bidi="zh-CN"/>
              </w:rPr>
              <w:t>4.</w:t>
            </w:r>
            <w:r>
              <w:rPr>
                <w:rFonts w:hint="eastAsia" w:ascii="宋体" w:hAnsi="宋体" w:eastAsia="宋体" w:cs="宋体"/>
                <w:b w:val="0"/>
                <w:bCs w:val="0"/>
                <w:color w:val="auto"/>
                <w:kern w:val="2"/>
                <w:sz w:val="21"/>
                <w:szCs w:val="21"/>
                <w:highlight w:val="none"/>
                <w:lang w:val="en-US" w:eastAsia="zh-CN" w:bidi="zh-CN"/>
              </w:rPr>
              <w:t>制定规章制度</w:t>
            </w:r>
            <w:r>
              <w:rPr>
                <w:rFonts w:hint="eastAsia" w:ascii="宋体" w:hAnsi="宋体" w:cs="宋体"/>
                <w:b w:val="0"/>
                <w:bCs w:val="0"/>
                <w:color w:val="auto"/>
                <w:kern w:val="2"/>
                <w:sz w:val="21"/>
                <w:szCs w:val="21"/>
                <w:highlight w:val="none"/>
                <w:lang w:val="en-US" w:eastAsia="zh-CN" w:bidi="zh-CN"/>
              </w:rPr>
              <w:t>、</w:t>
            </w:r>
            <w:r>
              <w:rPr>
                <w:rFonts w:hint="eastAsia" w:ascii="宋体" w:hAnsi="宋体" w:eastAsia="宋体" w:cs="宋体"/>
                <w:b w:val="0"/>
                <w:bCs w:val="0"/>
                <w:color w:val="auto"/>
                <w:kern w:val="2"/>
                <w:sz w:val="21"/>
                <w:szCs w:val="21"/>
                <w:highlight w:val="none"/>
                <w:lang w:val="en-US" w:eastAsia="zh-CN" w:bidi="zh-CN"/>
              </w:rPr>
              <w:t>提供的日常维护方案、定期巡检方案和故障维修方案</w:t>
            </w:r>
            <w:r>
              <w:rPr>
                <w:rFonts w:hint="eastAsia" w:ascii="宋体" w:hAnsi="宋体" w:cs="宋体"/>
                <w:b w:val="0"/>
                <w:bCs w:val="0"/>
                <w:color w:val="auto"/>
                <w:kern w:val="2"/>
                <w:sz w:val="21"/>
                <w:szCs w:val="21"/>
                <w:highlight w:val="none"/>
                <w:lang w:val="en-US" w:eastAsia="zh-CN" w:bidi="zh-CN"/>
              </w:rPr>
              <w:t>较差的</w:t>
            </w:r>
            <w:r>
              <w:rPr>
                <w:rFonts w:hint="eastAsia" w:ascii="宋体" w:hAnsi="宋体" w:eastAsia="宋体" w:cs="宋体"/>
                <w:b w:val="0"/>
                <w:bCs w:val="0"/>
                <w:color w:val="auto"/>
                <w:kern w:val="2"/>
                <w:sz w:val="21"/>
                <w:szCs w:val="21"/>
                <w:highlight w:val="none"/>
                <w:lang w:val="en-US" w:eastAsia="zh-CN" w:bidi="zh-CN"/>
              </w:rPr>
              <w:t>得</w:t>
            </w:r>
            <w:r>
              <w:rPr>
                <w:rFonts w:hint="eastAsia" w:ascii="宋体" w:hAnsi="宋体" w:cs="宋体"/>
                <w:b w:val="0"/>
                <w:bCs w:val="0"/>
                <w:color w:val="auto"/>
                <w:kern w:val="2"/>
                <w:sz w:val="21"/>
                <w:szCs w:val="21"/>
                <w:highlight w:val="none"/>
                <w:lang w:val="en-US" w:eastAsia="zh-CN" w:bidi="zh-CN"/>
              </w:rPr>
              <w:t>1</w:t>
            </w:r>
            <w:r>
              <w:rPr>
                <w:rFonts w:hint="eastAsia" w:ascii="宋体" w:hAnsi="宋体" w:eastAsia="宋体" w:cs="宋体"/>
                <w:b w:val="0"/>
                <w:bCs w:val="0"/>
                <w:color w:val="auto"/>
                <w:kern w:val="2"/>
                <w:sz w:val="21"/>
                <w:szCs w:val="21"/>
                <w:highlight w:val="none"/>
                <w:lang w:val="en-US" w:eastAsia="zh-CN" w:bidi="zh-CN"/>
              </w:rPr>
              <w:t>分；</w:t>
            </w:r>
            <w:r>
              <w:rPr>
                <w:rFonts w:hint="eastAsia" w:ascii="宋体" w:hAnsi="宋体" w:eastAsia="宋体" w:cs="宋体"/>
                <w:b w:val="0"/>
                <w:bCs w:val="0"/>
                <w:color w:val="auto"/>
                <w:kern w:val="2"/>
                <w:sz w:val="21"/>
                <w:szCs w:val="21"/>
                <w:highlight w:val="none"/>
                <w:lang w:val="en-US" w:eastAsia="zh-CN" w:bidi="zh-CN"/>
              </w:rPr>
              <w:br w:type="textWrapping"/>
            </w:r>
            <w:r>
              <w:rPr>
                <w:rFonts w:hint="eastAsia" w:ascii="宋体" w:hAnsi="宋体" w:eastAsia="宋体" w:cs="宋体"/>
                <w:b w:val="0"/>
                <w:bCs w:val="0"/>
                <w:color w:val="auto"/>
                <w:kern w:val="2"/>
                <w:sz w:val="21"/>
                <w:szCs w:val="21"/>
                <w:highlight w:val="none"/>
                <w:lang w:val="en-US" w:eastAsia="zh-CN" w:bidi="zh-CN"/>
              </w:rPr>
              <w:t>未提供明确运维措施或所提供运维措施不满足要求得0分。</w:t>
            </w:r>
          </w:p>
        </w:tc>
      </w:tr>
      <w:tr w14:paraId="301D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5" w:type="dxa"/>
            <w:vMerge w:val="continue"/>
            <w:noWrap w:val="0"/>
            <w:vAlign w:val="center"/>
          </w:tcPr>
          <w:p w14:paraId="1BFC968B">
            <w:pPr>
              <w:pStyle w:val="28"/>
              <w:keepLines w:val="0"/>
              <w:pageBreakBefore w:val="0"/>
              <w:widowControl w:val="0"/>
              <w:tabs>
                <w:tab w:val="left" w:pos="635"/>
              </w:tabs>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z w:val="21"/>
                <w:szCs w:val="21"/>
                <w:highlight w:val="none"/>
              </w:rPr>
            </w:pPr>
          </w:p>
        </w:tc>
        <w:tc>
          <w:tcPr>
            <w:tcW w:w="1492" w:type="dxa"/>
            <w:noWrap w:val="0"/>
            <w:vAlign w:val="center"/>
          </w:tcPr>
          <w:p w14:paraId="2C63F6A9">
            <w:pPr>
              <w:widowControl/>
              <w:spacing w:line="360" w:lineRule="auto"/>
              <w:jc w:val="center"/>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000000"/>
                <w:kern w:val="0"/>
                <w:sz w:val="21"/>
                <w:szCs w:val="21"/>
                <w:highlight w:val="none"/>
              </w:rPr>
              <w:t>售后服务响</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应情况</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7211" w:type="dxa"/>
            <w:noWrap w:val="0"/>
            <w:vAlign w:val="center"/>
          </w:tcPr>
          <w:p w14:paraId="6433BD4D">
            <w:pPr>
              <w:widowControl/>
              <w:spacing w:line="360" w:lineRule="auto"/>
              <w:jc w:val="left"/>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kern w:val="2"/>
                <w:sz w:val="21"/>
                <w:szCs w:val="21"/>
                <w:highlight w:val="none"/>
                <w:lang w:val="en-US" w:eastAsia="zh-CN" w:bidi="zh-CN"/>
              </w:rPr>
              <w:t>根据供应商承诺在接到采购人通知后2小时内到达采购人指定地点开展技术服务的</w:t>
            </w:r>
            <w:r>
              <w:rPr>
                <w:rFonts w:hint="eastAsia" w:ascii="宋体" w:hAnsi="宋体" w:cs="宋体"/>
                <w:b w:val="0"/>
                <w:bCs w:val="0"/>
                <w:color w:val="auto"/>
                <w:kern w:val="2"/>
                <w:sz w:val="21"/>
                <w:szCs w:val="21"/>
                <w:highlight w:val="none"/>
                <w:lang w:val="en-US" w:eastAsia="zh-CN" w:bidi="zh-CN"/>
              </w:rPr>
              <w:t>得5分</w:t>
            </w:r>
            <w:r>
              <w:rPr>
                <w:rFonts w:hint="eastAsia" w:ascii="宋体" w:hAnsi="宋体" w:eastAsia="宋体" w:cs="宋体"/>
                <w:b w:val="0"/>
                <w:bCs w:val="0"/>
                <w:color w:val="auto"/>
                <w:kern w:val="2"/>
                <w:sz w:val="21"/>
                <w:szCs w:val="21"/>
                <w:highlight w:val="none"/>
                <w:lang w:val="en-US" w:eastAsia="zh-CN" w:bidi="zh-CN"/>
              </w:rPr>
              <w:t>：注：须提供承诺函，格式自定</w:t>
            </w:r>
            <w:r>
              <w:rPr>
                <w:rFonts w:hint="eastAsia" w:ascii="宋体" w:hAnsi="宋体" w:cs="宋体"/>
                <w:b w:val="0"/>
                <w:bCs w:val="0"/>
                <w:color w:val="auto"/>
                <w:kern w:val="2"/>
                <w:sz w:val="21"/>
                <w:szCs w:val="21"/>
                <w:highlight w:val="none"/>
                <w:lang w:val="en-US" w:eastAsia="zh-CN" w:bidi="zh-CN"/>
              </w:rPr>
              <w:t>，否则不得分</w:t>
            </w:r>
            <w:r>
              <w:rPr>
                <w:rFonts w:hint="eastAsia" w:ascii="宋体" w:hAnsi="宋体" w:eastAsia="宋体" w:cs="宋体"/>
                <w:b w:val="0"/>
                <w:bCs w:val="0"/>
                <w:color w:val="auto"/>
                <w:kern w:val="2"/>
                <w:sz w:val="21"/>
                <w:szCs w:val="21"/>
                <w:highlight w:val="none"/>
                <w:lang w:val="en-US" w:eastAsia="zh-CN" w:bidi="zh-CN"/>
              </w:rPr>
              <w:t>。</w:t>
            </w:r>
          </w:p>
        </w:tc>
      </w:tr>
      <w:tr w14:paraId="1F61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95" w:type="dxa"/>
            <w:vMerge w:val="restart"/>
            <w:noWrap w:val="0"/>
            <w:vAlign w:val="center"/>
          </w:tcPr>
          <w:p w14:paraId="4B48A52D">
            <w:pPr>
              <w:pStyle w:val="2"/>
              <w:keepLines w:val="0"/>
              <w:pageBreakBefore w:val="0"/>
              <w:widowControl w:val="0"/>
              <w:kinsoku/>
              <w:wordWrap/>
              <w:overflowPunct/>
              <w:topLinePunct w:val="0"/>
              <w:bidi w:val="0"/>
              <w:adjustRightInd/>
              <w:snapToGrid/>
              <w:spacing w:line="360" w:lineRule="auto"/>
              <w:ind w:left="0"/>
              <w:jc w:val="both"/>
              <w:textAlignment w:val="auto"/>
              <w:rPr>
                <w:rFonts w:hint="eastAsia" w:ascii="宋体" w:hAnsi="宋体" w:eastAsia="宋体" w:cs="宋体"/>
                <w:b w:val="0"/>
                <w:bCs w:val="0"/>
                <w:color w:val="auto"/>
                <w:sz w:val="21"/>
                <w:szCs w:val="21"/>
                <w:highlight w:val="none"/>
                <w:lang w:val="en-US" w:eastAsia="zh-CN"/>
              </w:rPr>
            </w:pPr>
          </w:p>
          <w:p w14:paraId="0605D007">
            <w:pPr>
              <w:pStyle w:val="2"/>
              <w:keepLines w:val="0"/>
              <w:pageBreakBefore w:val="0"/>
              <w:widowControl w:val="0"/>
              <w:kinsoku/>
              <w:wordWrap/>
              <w:overflowPunct/>
              <w:topLinePunct w:val="0"/>
              <w:bidi w:val="0"/>
              <w:adjustRightInd/>
              <w:snapToGrid/>
              <w:spacing w:line="36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综合部分（</w:t>
            </w:r>
            <w:r>
              <w:rPr>
                <w:rFonts w:hint="eastAsia" w:ascii="宋体" w:hAnsi="宋体" w:cs="宋体"/>
                <w:b w:val="0"/>
                <w:bCs w:val="0"/>
                <w:color w:val="auto"/>
                <w:sz w:val="21"/>
                <w:szCs w:val="21"/>
                <w:highlight w:val="none"/>
                <w:lang w:val="en-US" w:eastAsia="zh-CN"/>
              </w:rPr>
              <w:t>32</w:t>
            </w:r>
            <w:r>
              <w:rPr>
                <w:rFonts w:hint="eastAsia" w:ascii="宋体" w:hAnsi="宋体" w:eastAsia="宋体" w:cs="宋体"/>
                <w:b w:val="0"/>
                <w:bCs w:val="0"/>
                <w:color w:val="auto"/>
                <w:sz w:val="21"/>
                <w:szCs w:val="21"/>
                <w:highlight w:val="none"/>
                <w:lang w:val="en-US" w:eastAsia="zh-CN"/>
              </w:rPr>
              <w:t>分）</w:t>
            </w:r>
          </w:p>
        </w:tc>
        <w:tc>
          <w:tcPr>
            <w:tcW w:w="1492" w:type="dxa"/>
            <w:noWrap w:val="0"/>
            <w:vAlign w:val="center"/>
          </w:tcPr>
          <w:p w14:paraId="517BE73F">
            <w:pPr>
              <w:keepNext w:val="0"/>
              <w:keepLines w:val="0"/>
              <w:pageBreakBefore w:val="0"/>
              <w:widowControl/>
              <w:suppressLineNumbers w:val="0"/>
              <w:kinsoku/>
              <w:wordWrap/>
              <w:overflowPunct/>
              <w:topLinePunct w:val="0"/>
              <w:bidi w:val="0"/>
              <w:adjustRightInd/>
              <w:snapToGrid/>
              <w:spacing w:line="360" w:lineRule="auto"/>
              <w:ind w:left="0"/>
              <w:jc w:val="center"/>
              <w:textAlignment w:val="auto"/>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类似业绩</w:t>
            </w:r>
          </w:p>
          <w:p w14:paraId="7FCCB20D">
            <w:pPr>
              <w:keepNext w:val="0"/>
              <w:keepLines w:val="0"/>
              <w:pageBreakBefore w:val="0"/>
              <w:widowControl/>
              <w:suppressLineNumbers w:val="0"/>
              <w:kinsoku/>
              <w:wordWrap/>
              <w:overflowPunct/>
              <w:topLinePunct w:val="0"/>
              <w:bidi w:val="0"/>
              <w:adjustRightInd/>
              <w:snapToGrid/>
              <w:spacing w:line="360" w:lineRule="auto"/>
              <w:ind w:left="0"/>
              <w:jc w:val="center"/>
              <w:textAlignment w:val="auto"/>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（6分）</w:t>
            </w:r>
          </w:p>
        </w:tc>
        <w:tc>
          <w:tcPr>
            <w:tcW w:w="7211" w:type="dxa"/>
            <w:noWrap w:val="0"/>
            <w:vAlign w:val="center"/>
          </w:tcPr>
          <w:p w14:paraId="30ED49F8">
            <w:pPr>
              <w:widowControl/>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val="en-US" w:eastAsia="zh-CN"/>
              </w:rPr>
              <w:t>2022年1月1日以来</w:t>
            </w:r>
            <w:r>
              <w:rPr>
                <w:rFonts w:hint="eastAsia" w:ascii="宋体" w:hAnsi="宋体" w:cs="宋体"/>
                <w:szCs w:val="21"/>
                <w:highlight w:val="none"/>
              </w:rPr>
              <w:t>承担过空气监测站安装、升级改造、运维</w:t>
            </w:r>
            <w:r>
              <w:rPr>
                <w:rFonts w:hint="eastAsia" w:ascii="宋体" w:hAnsi="宋体" w:cs="宋体"/>
                <w:szCs w:val="21"/>
                <w:highlight w:val="none"/>
                <w:lang w:eastAsia="zh-CN"/>
              </w:rPr>
              <w:t>等</w:t>
            </w:r>
            <w:r>
              <w:rPr>
                <w:rFonts w:hint="eastAsia" w:ascii="宋体" w:hAnsi="宋体" w:cs="宋体"/>
                <w:szCs w:val="21"/>
                <w:highlight w:val="none"/>
              </w:rPr>
              <w:t>类似业绩的，每提供一</w:t>
            </w:r>
            <w:r>
              <w:rPr>
                <w:rFonts w:hint="eastAsia" w:ascii="宋体" w:hAnsi="宋体" w:cs="宋体"/>
                <w:szCs w:val="21"/>
                <w:highlight w:val="none"/>
                <w:lang w:val="en-US" w:eastAsia="zh-CN"/>
              </w:rPr>
              <w:t>项</w:t>
            </w:r>
            <w:r>
              <w:rPr>
                <w:rFonts w:hint="eastAsia" w:ascii="宋体" w:hAnsi="宋体" w:cs="宋体"/>
                <w:szCs w:val="21"/>
                <w:highlight w:val="none"/>
              </w:rPr>
              <w:t>得</w:t>
            </w:r>
            <w:r>
              <w:rPr>
                <w:rFonts w:ascii="宋体" w:hAnsi="宋体" w:cs="宋体"/>
                <w:szCs w:val="21"/>
                <w:highlight w:val="none"/>
              </w:rPr>
              <w:t>3</w:t>
            </w:r>
            <w:r>
              <w:rPr>
                <w:rFonts w:hint="eastAsia" w:ascii="宋体" w:hAnsi="宋体" w:cs="宋体"/>
                <w:szCs w:val="21"/>
                <w:highlight w:val="none"/>
              </w:rPr>
              <w:t>分，最高得6分（提供项目的采购合同，</w:t>
            </w:r>
            <w:r>
              <w:rPr>
                <w:rFonts w:hint="eastAsia" w:ascii="宋体" w:hAnsi="宋体" w:cs="宋体"/>
                <w:szCs w:val="21"/>
                <w:highlight w:val="none"/>
                <w:lang w:val="en-US" w:eastAsia="zh-CN"/>
              </w:rPr>
              <w:t>合同</w:t>
            </w:r>
            <w:r>
              <w:rPr>
                <w:rFonts w:hint="eastAsia" w:ascii="宋体" w:hAnsi="宋体" w:cs="宋体"/>
                <w:szCs w:val="21"/>
                <w:highlight w:val="none"/>
              </w:rPr>
              <w:t>须包含合同首页及关键页、合同签字盖章页等扫描件）</w:t>
            </w:r>
          </w:p>
        </w:tc>
      </w:tr>
      <w:bookmarkEnd w:id="119"/>
      <w:tr w14:paraId="7ABC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195" w:type="dxa"/>
            <w:vMerge w:val="continue"/>
            <w:noWrap w:val="0"/>
            <w:vAlign w:val="center"/>
          </w:tcPr>
          <w:p w14:paraId="2ABA4C8E">
            <w:pPr>
              <w:pStyle w:val="2"/>
              <w:keepLines w:val="0"/>
              <w:pageBreakBefore w:val="0"/>
              <w:widowControl w:val="0"/>
              <w:kinsoku/>
              <w:wordWrap/>
              <w:overflowPunct/>
              <w:topLinePunct w:val="0"/>
              <w:bidi w:val="0"/>
              <w:adjustRightInd/>
              <w:snapToGrid/>
              <w:spacing w:line="360" w:lineRule="auto"/>
              <w:ind w:left="0"/>
              <w:textAlignment w:val="auto"/>
              <w:rPr>
                <w:rFonts w:hint="eastAsia" w:ascii="宋体" w:hAnsi="宋体" w:eastAsia="宋体" w:cs="宋体"/>
                <w:color w:val="auto"/>
                <w:sz w:val="21"/>
                <w:szCs w:val="21"/>
                <w:highlight w:val="none"/>
                <w:lang w:val="en-US" w:eastAsia="zh-CN"/>
              </w:rPr>
            </w:pPr>
          </w:p>
        </w:tc>
        <w:tc>
          <w:tcPr>
            <w:tcW w:w="1492" w:type="dxa"/>
            <w:shd w:val="clear" w:color="auto" w:fill="auto"/>
            <w:noWrap w:val="0"/>
            <w:vAlign w:val="center"/>
          </w:tcPr>
          <w:p w14:paraId="41F5DFB1">
            <w:pPr>
              <w:keepNext w:val="0"/>
              <w:keepLines w:val="0"/>
              <w:pageBreakBefore w:val="0"/>
              <w:widowControl/>
              <w:suppressLineNumbers w:val="0"/>
              <w:kinsoku/>
              <w:wordWrap/>
              <w:overflowPunct/>
              <w:topLinePunct w:val="0"/>
              <w:bidi w:val="0"/>
              <w:adjustRightInd/>
              <w:snapToGrid/>
              <w:spacing w:line="360" w:lineRule="auto"/>
              <w:ind w:lef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p w14:paraId="775F2A5B">
            <w:pPr>
              <w:keepNext w:val="0"/>
              <w:keepLines w:val="0"/>
              <w:pageBreakBefore w:val="0"/>
              <w:widowControl/>
              <w:suppressLineNumbers w:val="0"/>
              <w:kinsoku/>
              <w:wordWrap/>
              <w:overflowPunct/>
              <w:topLinePunct w:val="0"/>
              <w:bidi w:val="0"/>
              <w:adjustRightInd/>
              <w:snapToGrid/>
              <w:spacing w:line="360" w:lineRule="auto"/>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（10分）</w:t>
            </w:r>
          </w:p>
        </w:tc>
        <w:tc>
          <w:tcPr>
            <w:tcW w:w="7211" w:type="dxa"/>
            <w:shd w:val="clear" w:color="auto" w:fill="auto"/>
            <w:noWrap w:val="0"/>
            <w:vAlign w:val="center"/>
          </w:tcPr>
          <w:p w14:paraId="06F0CC0A">
            <w:pPr>
              <w:keepNext w:val="0"/>
              <w:keepLines w:val="0"/>
              <w:pageBreakBefore w:val="0"/>
              <w:widowControl/>
              <w:numPr>
                <w:ilvl w:val="0"/>
                <w:numId w:val="0"/>
              </w:numPr>
              <w:suppressLineNumbers w:val="0"/>
              <w:kinsoku/>
              <w:wordWrap/>
              <w:overflowPunct/>
              <w:topLinePunct w:val="0"/>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项目负责人具有环境工程</w:t>
            </w:r>
            <w:r>
              <w:rPr>
                <w:rFonts w:hint="eastAsia" w:ascii="宋体" w:hAnsi="宋体" w:cs="宋体"/>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专业</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中级</w:t>
            </w:r>
            <w:r>
              <w:rPr>
                <w:rFonts w:hint="eastAsia" w:ascii="宋体" w:hAnsi="宋体" w:cs="宋体"/>
                <w:color w:val="auto"/>
                <w:sz w:val="21"/>
                <w:szCs w:val="21"/>
                <w:highlight w:val="none"/>
                <w:lang w:val="en-US" w:eastAsia="zh-CN"/>
              </w:rPr>
              <w:t>（或以上）</w:t>
            </w:r>
            <w:r>
              <w:rPr>
                <w:rFonts w:hint="eastAsia" w:ascii="宋体" w:hAnsi="宋体" w:eastAsia="宋体" w:cs="宋体"/>
                <w:color w:val="auto"/>
                <w:sz w:val="21"/>
                <w:szCs w:val="21"/>
                <w:highlight w:val="none"/>
                <w:lang w:val="en-US" w:eastAsia="zh-CN"/>
              </w:rPr>
              <w:t>职称的得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2.项目负责人参与过国内重大活动空气质量技术保障</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，并获得相关证明或证书的得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4DA4D52A">
            <w:pPr>
              <w:keepNext w:val="0"/>
              <w:keepLines w:val="0"/>
              <w:pageBreakBefore w:val="0"/>
              <w:widowControl/>
              <w:numPr>
                <w:ilvl w:val="0"/>
                <w:numId w:val="0"/>
              </w:numPr>
              <w:suppressLineNumbers w:val="0"/>
              <w:kinsoku/>
              <w:wordWrap/>
              <w:overflowPunct/>
              <w:topLinePunct w:val="0"/>
              <w:bidi w:val="0"/>
              <w:adjustRightInd/>
              <w:snapToGrid/>
              <w:spacing w:line="360" w:lineRule="auto"/>
              <w:ind w:left="0" w:lef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参加过市</w:t>
            </w:r>
            <w:r>
              <w:rPr>
                <w:rFonts w:hint="eastAsia" w:ascii="宋体" w:hAnsi="宋体" w:cs="宋体"/>
                <w:color w:val="auto"/>
                <w:sz w:val="21"/>
                <w:szCs w:val="21"/>
                <w:highlight w:val="none"/>
                <w:lang w:val="en-US" w:eastAsia="zh-CN"/>
              </w:rPr>
              <w:t>厅</w:t>
            </w:r>
            <w:r>
              <w:rPr>
                <w:rFonts w:hint="eastAsia" w:ascii="宋体" w:hAnsi="宋体" w:eastAsia="宋体" w:cs="宋体"/>
                <w:color w:val="auto"/>
                <w:sz w:val="21"/>
                <w:szCs w:val="21"/>
                <w:highlight w:val="none"/>
                <w:lang w:val="en-US" w:eastAsia="zh-CN"/>
              </w:rPr>
              <w:t>级及以上的空气（大气）相关的科学研究课题，并担任</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负责人的得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分（提供</w:t>
            </w:r>
            <w:r>
              <w:rPr>
                <w:rFonts w:hint="eastAsia" w:ascii="宋体" w:hAnsi="宋体" w:cs="宋体"/>
                <w:color w:val="auto"/>
                <w:sz w:val="21"/>
                <w:szCs w:val="21"/>
                <w:highlight w:val="none"/>
                <w:lang w:val="en-US" w:eastAsia="zh-CN"/>
              </w:rPr>
              <w:t>课题任务书</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注：提供项目负责人身份证、职称证书、</w:t>
            </w:r>
            <w:r>
              <w:rPr>
                <w:rFonts w:hint="eastAsia" w:ascii="宋体" w:hAnsi="宋体" w:cs="宋体"/>
                <w:color w:val="auto"/>
                <w:sz w:val="21"/>
                <w:szCs w:val="21"/>
                <w:highlight w:val="none"/>
                <w:lang w:val="en-US" w:eastAsia="zh-CN"/>
              </w:rPr>
              <w:t>社保登记证明和</w:t>
            </w:r>
            <w:r>
              <w:rPr>
                <w:rFonts w:hint="eastAsia" w:ascii="宋体" w:hAnsi="宋体" w:eastAsia="宋体" w:cs="宋体"/>
                <w:color w:val="auto"/>
                <w:sz w:val="21"/>
                <w:szCs w:val="21"/>
                <w:highlight w:val="none"/>
                <w:lang w:val="en-US" w:eastAsia="zh-CN"/>
              </w:rPr>
              <w:t>其他必要证明材料的</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lang w:val="en-US" w:eastAsia="zh-CN"/>
              </w:rPr>
              <w:t>，否则不得分。</w:t>
            </w:r>
          </w:p>
        </w:tc>
      </w:tr>
      <w:tr w14:paraId="1F56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195" w:type="dxa"/>
            <w:vMerge w:val="continue"/>
            <w:noWrap w:val="0"/>
            <w:vAlign w:val="center"/>
          </w:tcPr>
          <w:p w14:paraId="2E13A63B">
            <w:pPr>
              <w:pStyle w:val="2"/>
              <w:keepLines w:val="0"/>
              <w:pageBreakBefore w:val="0"/>
              <w:widowControl w:val="0"/>
              <w:kinsoku/>
              <w:wordWrap/>
              <w:overflowPunct/>
              <w:topLinePunct w:val="0"/>
              <w:bidi w:val="0"/>
              <w:adjustRightInd/>
              <w:snapToGrid/>
              <w:spacing w:line="360" w:lineRule="auto"/>
              <w:ind w:left="0"/>
              <w:textAlignment w:val="auto"/>
              <w:rPr>
                <w:rFonts w:hint="eastAsia" w:ascii="宋体" w:hAnsi="宋体" w:eastAsia="宋体" w:cs="宋体"/>
                <w:b w:val="0"/>
                <w:bCs w:val="0"/>
                <w:color w:val="auto"/>
                <w:sz w:val="21"/>
                <w:szCs w:val="21"/>
                <w:highlight w:val="none"/>
                <w:lang w:val="en-US" w:eastAsia="zh-CN"/>
              </w:rPr>
            </w:pPr>
          </w:p>
        </w:tc>
        <w:tc>
          <w:tcPr>
            <w:tcW w:w="1492" w:type="dxa"/>
            <w:shd w:val="clear" w:color="auto" w:fill="auto"/>
            <w:noWrap w:val="0"/>
            <w:vAlign w:val="center"/>
          </w:tcPr>
          <w:p w14:paraId="2C1DA8D7">
            <w:pPr>
              <w:keepNext w:val="0"/>
              <w:keepLines w:val="0"/>
              <w:pageBreakBefore w:val="0"/>
              <w:widowControl/>
              <w:suppressLineNumbers w:val="0"/>
              <w:kinsoku/>
              <w:wordWrap/>
              <w:overflowPunct/>
              <w:topLinePunct w:val="0"/>
              <w:bidi w:val="0"/>
              <w:adjustRightInd/>
              <w:snapToGrid/>
              <w:spacing w:line="360" w:lineRule="auto"/>
              <w:ind w:left="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项目成员</w:t>
            </w:r>
          </w:p>
          <w:p w14:paraId="737A5CBB">
            <w:pPr>
              <w:pStyle w:val="5"/>
              <w:ind w:left="0" w:leftChars="0" w:firstLine="0" w:firstLineChars="0"/>
              <w:jc w:val="center"/>
              <w:rPr>
                <w:rFonts w:hint="default" w:ascii="Times New Roman" w:hAnsi="Times New Roman" w:eastAsia="宋体" w:cs="Times New Roman"/>
                <w:kern w:val="0"/>
                <w:sz w:val="20"/>
                <w:szCs w:val="20"/>
                <w:lang w:val="en-US" w:eastAsia="zh-CN" w:bidi="ar-SA"/>
              </w:rPr>
            </w:pPr>
            <w:r>
              <w:rPr>
                <w:rFonts w:hint="eastAsia" w:ascii="宋体" w:hAnsi="宋体" w:cs="宋体"/>
                <w:color w:val="auto"/>
                <w:sz w:val="21"/>
                <w:szCs w:val="21"/>
                <w:highlight w:val="none"/>
                <w:lang w:val="en-US" w:eastAsia="zh-CN"/>
              </w:rPr>
              <w:t>（10分）</w:t>
            </w:r>
          </w:p>
        </w:tc>
        <w:tc>
          <w:tcPr>
            <w:tcW w:w="7211" w:type="dxa"/>
            <w:shd w:val="clear" w:color="auto" w:fill="auto"/>
            <w:noWrap w:val="0"/>
            <w:vAlign w:val="center"/>
          </w:tcPr>
          <w:p w14:paraId="5E80212C">
            <w:pPr>
              <w:keepNext w:val="0"/>
              <w:keepLines w:val="0"/>
              <w:pageBreakBefore w:val="0"/>
              <w:widowControl/>
              <w:numPr>
                <w:ilvl w:val="0"/>
                <w:numId w:val="0"/>
              </w:numPr>
              <w:suppressLineNumbers w:val="0"/>
              <w:kinsoku/>
              <w:wordWrap/>
              <w:overflowPunct/>
              <w:topLinePunct w:val="0"/>
              <w:bidi w:val="0"/>
              <w:adjustRightInd/>
              <w:snapToGrid/>
              <w:spacing w:line="360" w:lineRule="auto"/>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项目成员持有生态环境部门或其授权机构颁发的环境空气自动监测运维培训合格证或上岗证的，每人得2分，最高得10分。</w:t>
            </w:r>
          </w:p>
          <w:p w14:paraId="17F6B739">
            <w:pPr>
              <w:keepNext w:val="0"/>
              <w:keepLines w:val="0"/>
              <w:pageBreakBefore w:val="0"/>
              <w:widowControl/>
              <w:numPr>
                <w:ilvl w:val="0"/>
                <w:numId w:val="0"/>
              </w:numPr>
              <w:suppressLineNumbers w:val="0"/>
              <w:kinsoku/>
              <w:wordWrap/>
              <w:overflowPunct/>
              <w:topLinePunct w:val="0"/>
              <w:bidi w:val="0"/>
              <w:adjustRightInd/>
              <w:snapToGrid/>
              <w:spacing w:line="360" w:lineRule="auto"/>
              <w:ind w:left="0" w:leftChars="0" w:firstLine="0" w:firstLine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注：提供项目成员的培训合格证或上岗证，否则不得分。</w:t>
            </w:r>
          </w:p>
        </w:tc>
      </w:tr>
      <w:tr w14:paraId="3C19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95" w:type="dxa"/>
            <w:vMerge w:val="continue"/>
            <w:noWrap w:val="0"/>
            <w:vAlign w:val="center"/>
          </w:tcPr>
          <w:p w14:paraId="3C43EA2D">
            <w:pPr>
              <w:pStyle w:val="2"/>
              <w:keepLines w:val="0"/>
              <w:pageBreakBefore w:val="0"/>
              <w:widowControl w:val="0"/>
              <w:kinsoku/>
              <w:wordWrap/>
              <w:overflowPunct/>
              <w:topLinePunct w:val="0"/>
              <w:bidi w:val="0"/>
              <w:adjustRightInd/>
              <w:snapToGrid/>
              <w:spacing w:line="360" w:lineRule="auto"/>
              <w:ind w:left="0"/>
              <w:textAlignment w:val="auto"/>
              <w:rPr>
                <w:rFonts w:hint="eastAsia" w:ascii="宋体" w:hAnsi="宋体" w:eastAsia="宋体" w:cs="宋体"/>
                <w:b w:val="0"/>
                <w:bCs w:val="0"/>
                <w:color w:val="auto"/>
                <w:sz w:val="21"/>
                <w:szCs w:val="21"/>
                <w:highlight w:val="none"/>
                <w:lang w:val="en-US" w:eastAsia="zh-CN"/>
              </w:rPr>
            </w:pPr>
          </w:p>
        </w:tc>
        <w:tc>
          <w:tcPr>
            <w:tcW w:w="1492" w:type="dxa"/>
            <w:noWrap w:val="0"/>
            <w:vAlign w:val="center"/>
          </w:tcPr>
          <w:p w14:paraId="0853578F">
            <w:pPr>
              <w:keepNext w:val="0"/>
              <w:keepLines w:val="0"/>
              <w:pageBreakBefore w:val="0"/>
              <w:widowControl/>
              <w:suppressLineNumbers w:val="0"/>
              <w:kinsoku/>
              <w:wordWrap/>
              <w:overflowPunct/>
              <w:topLinePunct w:val="0"/>
              <w:bidi w:val="0"/>
              <w:adjustRightInd/>
              <w:snapToGrid/>
              <w:spacing w:line="360" w:lineRule="auto"/>
              <w:ind w:lef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车辆配置</w:t>
            </w:r>
          </w:p>
          <w:p w14:paraId="275C081D">
            <w:pPr>
              <w:keepNext w:val="0"/>
              <w:keepLines w:val="0"/>
              <w:pageBreakBefore w:val="0"/>
              <w:widowControl/>
              <w:suppressLineNumbers w:val="0"/>
              <w:kinsoku/>
              <w:wordWrap/>
              <w:overflowPunct/>
              <w:topLinePunct w:val="0"/>
              <w:bidi w:val="0"/>
              <w:adjustRightInd/>
              <w:snapToGrid/>
              <w:spacing w:line="360" w:lineRule="auto"/>
              <w:ind w:lef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（6分）</w:t>
            </w:r>
          </w:p>
        </w:tc>
        <w:tc>
          <w:tcPr>
            <w:tcW w:w="7211" w:type="dxa"/>
            <w:noWrap w:val="0"/>
            <w:vAlign w:val="center"/>
          </w:tcPr>
          <w:p w14:paraId="6AED89C9">
            <w:pPr>
              <w:keepNext w:val="0"/>
              <w:keepLines w:val="0"/>
              <w:pageBreakBefore w:val="0"/>
              <w:widowControl/>
              <w:suppressLineNumbers w:val="0"/>
              <w:kinsoku/>
              <w:wordWrap/>
              <w:overflowPunct/>
              <w:topLinePunct w:val="0"/>
              <w:bidi w:val="0"/>
              <w:adjustRightInd/>
              <w:snapToGrid/>
              <w:spacing w:line="360" w:lineRule="auto"/>
              <w:ind w:lef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公司每有1辆汽车能服务于该项目的得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分，最高得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lang w:val="en-US" w:eastAsia="zh-CN"/>
              </w:rPr>
              <w:t>行驶证或租赁手续等</w:t>
            </w:r>
            <w:r>
              <w:rPr>
                <w:rFonts w:hint="eastAsia" w:ascii="宋体" w:hAnsi="宋体" w:cs="宋体"/>
                <w:color w:val="auto"/>
                <w:sz w:val="21"/>
                <w:szCs w:val="21"/>
                <w:highlight w:val="none"/>
                <w:lang w:val="en-US" w:eastAsia="zh-CN"/>
              </w:rPr>
              <w:t>相关证明材料，否则不得分）</w:t>
            </w:r>
          </w:p>
        </w:tc>
      </w:tr>
    </w:tbl>
    <w:p w14:paraId="72034C4B">
      <w:pPr>
        <w:spacing w:before="240" w:beforeLines="100"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五、评标方法</w:t>
      </w:r>
    </w:p>
    <w:p w14:paraId="7F83811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5.1本次评标采用综合评分法。评标委员会对满足招标文件实质性要求的投标文件，按照本章详细评审标准进行打分，本项目按综合得分由高到低顺序推荐3名中标候选人。综合评分相等时，以投标报价低的优先；</w:t>
      </w:r>
      <w:r>
        <w:rPr>
          <w:rFonts w:hint="eastAsia" w:ascii="宋体" w:hAnsi="宋体" w:eastAsia="宋体" w:cs="宋体"/>
          <w:color w:val="auto"/>
          <w:sz w:val="21"/>
          <w:szCs w:val="21"/>
          <w:highlight w:val="none"/>
        </w:rPr>
        <w:t>投标报价也相等的，由招标人自行确定</w:t>
      </w:r>
      <w:r>
        <w:rPr>
          <w:rFonts w:hint="eastAsia" w:ascii="宋体" w:hAnsi="宋体" w:eastAsia="宋体" w:cs="宋体"/>
          <w:color w:val="auto"/>
          <w:sz w:val="21"/>
          <w:szCs w:val="21"/>
          <w:highlight w:val="none"/>
          <w:lang w:eastAsia="zh-CN"/>
        </w:rPr>
        <w:t>。</w:t>
      </w:r>
    </w:p>
    <w:p w14:paraId="3C727E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5.2经评标委员会初步评审后有效投标不足3家，采购人应重新招标或经省财政部门批准采用其他方式采购。</w:t>
      </w:r>
    </w:p>
    <w:p w14:paraId="7FE0FD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5.3评标委员会按本章详细评审内容规定的量化因素和分值进行打分，计算出综合评估得分。</w:t>
      </w:r>
    </w:p>
    <w:p w14:paraId="562930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5.4评分分值计算保留小数点后两位，小数点后第三位“四舍五入”。</w:t>
      </w:r>
    </w:p>
    <w:p w14:paraId="59338A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5.5投标人的最终得分为全部评委打分的算术平均值。</w:t>
      </w:r>
    </w:p>
    <w:p w14:paraId="1D4B5ABF">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六、评标结果</w:t>
      </w:r>
    </w:p>
    <w:p w14:paraId="662987DB">
      <w:pPr>
        <w:spacing w:line="360" w:lineRule="auto"/>
        <w:ind w:firstLine="420" w:firstLineChars="200"/>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rPr>
        <w:t>采购代理机构应当自评审结束之日起2个工作日内将评标报告送交采购人。采购人应当自收到评标报告之日起5个工作日内在评标报告推荐的中标或者成交候选人中按顺序确定中标或者成交供应商。</w:t>
      </w:r>
      <w:r>
        <w:rPr>
          <w:rFonts w:hint="eastAsia" w:ascii="宋体" w:hAnsi="宋体" w:eastAsia="宋体" w:cs="宋体"/>
          <w:b/>
          <w:color w:val="auto"/>
          <w:sz w:val="24"/>
          <w:szCs w:val="20"/>
          <w:highlight w:val="none"/>
        </w:rPr>
        <w:br w:type="page"/>
      </w:r>
      <w:r>
        <w:rPr>
          <w:rFonts w:hint="eastAsia" w:ascii="宋体" w:hAnsi="宋体" w:eastAsia="宋体" w:cs="宋体"/>
          <w:b/>
          <w:color w:val="auto"/>
          <w:sz w:val="24"/>
          <w:szCs w:val="20"/>
          <w:highlight w:val="none"/>
        </w:rPr>
        <w:t>附件：无效投标的条件</w:t>
      </w:r>
      <w:bookmarkEnd w:id="113"/>
      <w:bookmarkEnd w:id="114"/>
      <w:bookmarkEnd w:id="115"/>
      <w:bookmarkEnd w:id="116"/>
      <w:bookmarkEnd w:id="117"/>
      <w:bookmarkEnd w:id="118"/>
    </w:p>
    <w:p w14:paraId="3570FBC3">
      <w:pPr>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无效投标的条件</w:t>
      </w:r>
    </w:p>
    <w:p w14:paraId="6E267C3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附件所集中列示的无效投标条件，是本章“评标办法”的组成部分，是对第二章“投标人须知”和本章正文部分所规定的无效投标条件的总结和补充，如果出现相互矛盾的情况，以第二章“投标人须知”和本章正文部分的规定为准。</w:t>
      </w:r>
    </w:p>
    <w:p w14:paraId="6D08126A">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1.未通过评标办法初步评审的；   </w:t>
      </w:r>
    </w:p>
    <w:p w14:paraId="61D61B74">
      <w:pPr>
        <w:spacing w:line="360" w:lineRule="auto"/>
        <w:ind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2.不按评标委员会要求澄清、说明或补正的；</w:t>
      </w:r>
    </w:p>
    <w:p w14:paraId="34C6C880">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3.投标有效期不满足招标文件要求的；</w:t>
      </w:r>
    </w:p>
    <w:p w14:paraId="5F22A728">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4.投标报价有算术性错误，投标人不接受修正价格的；</w:t>
      </w:r>
    </w:p>
    <w:p w14:paraId="62BD7B9A">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5.以他人的名义投标、以行贿手段谋取中标或者以其他弄虚作假方式投标的；</w:t>
      </w:r>
    </w:p>
    <w:p w14:paraId="758E06D1">
      <w:pPr>
        <w:spacing w:line="360" w:lineRule="auto"/>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6.属于串（围）标行为的；</w:t>
      </w:r>
    </w:p>
    <w:bookmarkEnd w:id="110"/>
    <w:bookmarkEnd w:id="111"/>
    <w:bookmarkEnd w:id="112"/>
    <w:p w14:paraId="6323323B">
      <w:pPr>
        <w:spacing w:line="360" w:lineRule="auto"/>
        <w:ind w:firstLine="42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在评标过程中，评标专家发现投标人的报价明显低于其他通过符合性审查投标人的报价，且该投标人的技术等主要指标有大量或明细不符，可能影响采购质量或项目履约的，应该要求其在评标现场合理的时间内提供书面说明（书面说明应包含但不限于所投货物详细的价格组成证明材料，价格证明材料以发票为主要依据），投标人不能证明其报价合理性的，评标委员会应当将其作为无效投标处理。</w:t>
      </w:r>
    </w:p>
    <w:p w14:paraId="1AAF6C2C">
      <w:pPr>
        <w:spacing w:line="360" w:lineRule="auto"/>
        <w:ind w:firstLine="420"/>
        <w:rPr>
          <w:rFonts w:hint="eastAsia" w:ascii="宋体" w:hAnsi="宋体" w:eastAsia="宋体" w:cs="宋体"/>
          <w:b/>
          <w:color w:val="auto"/>
          <w:spacing w:val="-4"/>
          <w:szCs w:val="21"/>
          <w:highlight w:val="none"/>
        </w:rPr>
      </w:pPr>
      <w:r>
        <w:rPr>
          <w:rFonts w:hint="eastAsia" w:ascii="宋体" w:hAnsi="宋体" w:eastAsia="宋体" w:cs="宋体"/>
          <w:b/>
          <w:color w:val="auto"/>
          <w:spacing w:val="-4"/>
          <w:szCs w:val="21"/>
          <w:highlight w:val="none"/>
        </w:rPr>
        <w:t>8.不符合招标文件规定的其他实质性要求及相关法律、法规或规章规定可以否决投标的其他情形。</w:t>
      </w:r>
      <w:bookmarkStart w:id="120" w:name="_Toc424548271"/>
    </w:p>
    <w:p w14:paraId="4BCCCFDF">
      <w:pPr>
        <w:rPr>
          <w:rFonts w:hint="eastAsia" w:ascii="宋体" w:hAnsi="宋体" w:eastAsia="宋体" w:cs="宋体"/>
          <w:color w:val="auto"/>
          <w:highlight w:val="none"/>
        </w:rPr>
      </w:pPr>
    </w:p>
    <w:p w14:paraId="5DB00DD6">
      <w:pPr>
        <w:rPr>
          <w:rFonts w:hint="eastAsia" w:ascii="宋体" w:hAnsi="宋体" w:eastAsia="宋体" w:cs="宋体"/>
          <w:color w:val="auto"/>
          <w:highlight w:val="none"/>
        </w:rPr>
        <w:sectPr>
          <w:headerReference r:id="rId9" w:type="default"/>
          <w:footerReference r:id="rId10" w:type="default"/>
          <w:pgSz w:w="11907" w:h="16840"/>
          <w:pgMar w:top="1418" w:right="1247" w:bottom="1247" w:left="1417" w:header="964" w:footer="850" w:gutter="0"/>
          <w:pgNumType w:fmt="numberInDash"/>
          <w:cols w:space="720" w:num="1"/>
          <w:docGrid w:linePitch="306" w:charSpace="-2"/>
        </w:sectPr>
      </w:pPr>
    </w:p>
    <w:p w14:paraId="57BCFA7B">
      <w:pPr>
        <w:pStyle w:val="21"/>
        <w:ind w:firstLine="210"/>
        <w:rPr>
          <w:rFonts w:hint="eastAsia" w:ascii="宋体" w:hAnsi="宋体" w:eastAsia="宋体" w:cs="宋体"/>
          <w:color w:val="auto"/>
          <w:highlight w:val="none"/>
        </w:rPr>
        <w:sectPr>
          <w:type w:val="continuous"/>
          <w:pgSz w:w="11907" w:h="16840"/>
          <w:pgMar w:top="1418" w:right="1247" w:bottom="1247" w:left="1418" w:header="624" w:footer="680" w:gutter="0"/>
          <w:pgNumType w:fmt="numberInDash"/>
          <w:cols w:space="720" w:num="1"/>
          <w:docGrid w:linePitch="306" w:charSpace="-2"/>
        </w:sectPr>
      </w:pPr>
    </w:p>
    <w:bookmarkEnd w:id="120"/>
    <w:p w14:paraId="0D118681">
      <w:pPr>
        <w:keepNext/>
        <w:spacing w:line="360" w:lineRule="auto"/>
        <w:jc w:val="center"/>
        <w:outlineLvl w:val="0"/>
        <w:rPr>
          <w:rFonts w:hint="eastAsia" w:ascii="宋体" w:hAnsi="宋体" w:eastAsia="宋体" w:cs="宋体"/>
          <w:b/>
          <w:bCs/>
          <w:color w:val="auto"/>
          <w:sz w:val="32"/>
          <w:szCs w:val="32"/>
          <w:highlight w:val="none"/>
        </w:rPr>
      </w:pPr>
      <w:bookmarkStart w:id="121" w:name="_Toc6331"/>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HYPERLINK \l _Toc9366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 xml:space="preserve">第四章 </w:t>
      </w:r>
      <w:r>
        <w:rPr>
          <w:rFonts w:hint="eastAsia" w:ascii="宋体" w:hAnsi="宋体" w:eastAsia="宋体" w:cs="宋体"/>
          <w:b/>
          <w:bCs/>
          <w:color w:val="auto"/>
          <w:sz w:val="32"/>
          <w:szCs w:val="32"/>
          <w:highlight w:val="none"/>
          <w:lang w:eastAsia="zh-CN"/>
        </w:rPr>
        <w:t>采购需求</w:t>
      </w:r>
      <w:r>
        <w:rPr>
          <w:rFonts w:hint="eastAsia" w:ascii="宋体" w:hAnsi="宋体" w:eastAsia="宋体" w:cs="宋体"/>
          <w:b/>
          <w:bCs/>
          <w:color w:val="auto"/>
          <w:sz w:val="32"/>
          <w:szCs w:val="32"/>
          <w:highlight w:val="none"/>
        </w:rPr>
        <w:fldChar w:fldCharType="end"/>
      </w:r>
      <w:bookmarkEnd w:id="121"/>
    </w:p>
    <w:p w14:paraId="24F1F084">
      <w:pPr>
        <w:widowControl/>
        <w:spacing w:line="360" w:lineRule="auto"/>
        <w:rPr>
          <w:highlight w:val="none"/>
        </w:rPr>
      </w:pPr>
      <w:bookmarkStart w:id="122" w:name="_Toc417567985"/>
      <w:bookmarkStart w:id="123" w:name="_Toc414956968"/>
      <w:r>
        <w:rPr>
          <w:rFonts w:hint="eastAsia" w:ascii="宋体" w:hAnsi="宋体" w:eastAsia="宋体" w:cs="宋体"/>
          <w:b/>
          <w:bCs/>
          <w:color w:val="000000"/>
          <w:kern w:val="0"/>
          <w:szCs w:val="21"/>
          <w:highlight w:val="none"/>
          <w:lang w:bidi="ar"/>
        </w:rPr>
        <w:t xml:space="preserve">运维范围及期限： </w:t>
      </w:r>
    </w:p>
    <w:p w14:paraId="5A92C99A">
      <w:pPr>
        <w:widowControl/>
        <w:spacing w:line="360" w:lineRule="auto"/>
        <w:ind w:firstLine="420" w:firstLineChars="200"/>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val="en-US" w:eastAsia="zh-CN" w:bidi="ar"/>
        </w:rPr>
        <w:t>一包</w:t>
      </w:r>
      <w:r>
        <w:rPr>
          <w:rFonts w:hint="eastAsia" w:ascii="宋体" w:hAnsi="宋体" w:eastAsia="宋体" w:cs="宋体"/>
          <w:color w:val="000000"/>
          <w:kern w:val="0"/>
          <w:szCs w:val="21"/>
          <w:highlight w:val="none"/>
          <w:lang w:val="en-US" w:eastAsia="zh-CN" w:bidi="ar"/>
        </w:rPr>
        <w:t>：龙井乡、肖店乡、甘岸办事处、洋河镇、长台关乡、城阳城址保护区、胡店乡、五里店办事处、五里镇、肖王镇、查山乡、明港镇共12个乡镇空气站点，上述12个空气站点均为六因子（PM10、PM2.5、SO2、NO2、CO、O3）站点，运维期限为24个月</w:t>
      </w:r>
    </w:p>
    <w:p w14:paraId="22E2C09F">
      <w:pPr>
        <w:widowControl/>
        <w:spacing w:line="360" w:lineRule="auto"/>
        <w:ind w:firstLine="420" w:firstLineChars="200"/>
        <w:rPr>
          <w:highlight w:val="none"/>
        </w:rPr>
      </w:pPr>
      <w:r>
        <w:rPr>
          <w:rFonts w:hint="eastAsia" w:ascii="宋体" w:hAnsi="宋体" w:cs="宋体"/>
          <w:color w:val="000000"/>
          <w:kern w:val="0"/>
          <w:szCs w:val="21"/>
          <w:highlight w:val="none"/>
          <w:lang w:val="en-US" w:eastAsia="zh-CN" w:bidi="ar"/>
        </w:rPr>
        <w:t>二包</w:t>
      </w:r>
      <w:r>
        <w:rPr>
          <w:rFonts w:hint="eastAsia" w:ascii="宋体" w:hAnsi="宋体" w:eastAsia="宋体" w:cs="宋体"/>
          <w:color w:val="000000"/>
          <w:kern w:val="0"/>
          <w:szCs w:val="21"/>
          <w:highlight w:val="none"/>
          <w:lang w:val="en-US" w:eastAsia="zh-CN" w:bidi="ar"/>
        </w:rPr>
        <w:t>：兰店办事处筹建处、邢集镇、王岗乡、高粱店乡、平昌关镇共5个乡镇空气站点，上述5个空气站点均为六因子（PM10、PM2.5、SO2、NO2、CO、O3）站点，运维期限为24个月</w:t>
      </w:r>
      <w:r>
        <w:rPr>
          <w:rFonts w:hint="eastAsia" w:ascii="宋体" w:hAnsi="宋体" w:eastAsia="宋体" w:cs="宋体"/>
          <w:color w:val="000000"/>
          <w:kern w:val="0"/>
          <w:szCs w:val="21"/>
          <w:highlight w:val="none"/>
          <w:lang w:bidi="ar"/>
        </w:rPr>
        <w:t xml:space="preserve">。 </w:t>
      </w:r>
    </w:p>
    <w:p w14:paraId="4EE39637">
      <w:pPr>
        <w:widowControl/>
        <w:spacing w:line="360" w:lineRule="auto"/>
        <w:rPr>
          <w:highlight w:val="none"/>
        </w:rPr>
      </w:pPr>
      <w:r>
        <w:rPr>
          <w:rFonts w:hint="eastAsia" w:ascii="宋体" w:hAnsi="宋体" w:eastAsia="宋体" w:cs="宋体"/>
          <w:b/>
          <w:bCs/>
          <w:color w:val="000000"/>
          <w:kern w:val="0"/>
          <w:szCs w:val="21"/>
          <w:highlight w:val="none"/>
          <w:lang w:bidi="ar"/>
        </w:rPr>
        <w:t xml:space="preserve">运维主要内容： </w:t>
      </w:r>
    </w:p>
    <w:p w14:paraId="5A115AD9">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空气自动监测站所有监测仪器、气象仪器、质控设备、数据采集与传输设备、防雷设施、视 频监控设施、UPS、空调、稳压电源、灭火器及其他所有与空气站点运行有关设施的日常维护、 质量控制、故障维修、年度检修、检定等工作，以及站房内部管理、内部电力和网络维护，上述工作产生的直接和间接费用全部包含在本项目运维费中。运维过程中须接受委托方（或第四方） 随机质控检查和考核，确保空气自动站各项监测仪器正常稳定运行并联网正常。站点迁移有上级部门正规认可手续的，运维单位负责监测仪器、辅助设备的搬迁和安装等具体工作。每月定期向委托方提交《空气自动站运行月计划》、《空气自动站运行情况月报告》，向委托方陈述空气自动站的运行状况和事件处理情况。 </w:t>
      </w:r>
    </w:p>
    <w:p w14:paraId="0C460677">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在委托运行管理及维护期间，中标人必须按照《国家环境空气质量监测网城市站运行管理实施细则》(试行)、《环境空气颗粒物（PM10 和 PM2.5）连续自动监测系统运行和质控技术规范》、《环境空气气态污染物（SO2、NO2、O3、CO）连续自动监测系统运行和质控技术规范》、《国家环境空气质量监测网城市站运行管理实施细则（试行）》、《河南省环境空气质量自动监测站运行管理办法》及其它国家、河南省、信阳市的有关法律、法规及环保行业规定，使各空气站系统及仪表运行达到国家及行业颁布的技术标准和考核指标要求。委托运行管理及维护期间，如环境空气自动站运行与质控相关技术规范、管理要求发生变化，需按要最新的规范要求开展运维与质控管理工作。 </w:t>
      </w:r>
    </w:p>
    <w:p w14:paraId="1AB55A07">
      <w:pPr>
        <w:widowControl/>
        <w:spacing w:line="360" w:lineRule="auto"/>
        <w:rPr>
          <w:highlight w:val="none"/>
        </w:rPr>
      </w:pPr>
      <w:r>
        <w:rPr>
          <w:rFonts w:hint="eastAsia" w:ascii="宋体" w:hAnsi="宋体" w:eastAsia="宋体" w:cs="宋体"/>
          <w:b/>
          <w:bCs/>
          <w:color w:val="000000"/>
          <w:kern w:val="0"/>
          <w:szCs w:val="21"/>
          <w:highlight w:val="none"/>
          <w:lang w:bidi="ar"/>
        </w:rPr>
        <w:t xml:space="preserve">运维工作目标： </w:t>
      </w:r>
    </w:p>
    <w:p w14:paraId="2347376F">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运维方必须建立完善的运行维护工作规范和质量管理体系，确保各站点提供及时、准确、有效的监测数据，空气自动站的运行质量应达到以下指标： </w:t>
      </w:r>
    </w:p>
    <w:p w14:paraId="7DA485D6">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1）所获取的有效监测数据必须满足《环境空气质量标准》中规定的污染物浓度数据有效性规定。 </w:t>
      </w:r>
    </w:p>
    <w:p w14:paraId="7331C8D9">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2）空气站数据有效率达到9</w:t>
      </w:r>
      <w:r>
        <w:rPr>
          <w:rFonts w:hint="eastAsia" w:ascii="宋体" w:hAnsi="宋体" w:eastAsia="宋体" w:cs="宋体"/>
          <w:color w:val="000000"/>
          <w:kern w:val="0"/>
          <w:szCs w:val="21"/>
          <w:highlight w:val="none"/>
          <w:lang w:val="en-US" w:eastAsia="zh-CN" w:bidi="ar"/>
        </w:rPr>
        <w:t>0</w:t>
      </w:r>
      <w:r>
        <w:rPr>
          <w:rFonts w:hint="eastAsia" w:ascii="宋体" w:hAnsi="宋体" w:eastAsia="宋体" w:cs="宋体"/>
          <w:color w:val="000000"/>
          <w:kern w:val="0"/>
          <w:szCs w:val="21"/>
          <w:highlight w:val="none"/>
          <w:lang w:bidi="ar"/>
        </w:rPr>
        <w:t xml:space="preserve">%以上。 </w:t>
      </w:r>
    </w:p>
    <w:p w14:paraId="5E1F1731">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3）空气站连通率达到9</w:t>
      </w:r>
      <w:r>
        <w:rPr>
          <w:rFonts w:hint="eastAsia" w:ascii="宋体" w:hAnsi="宋体" w:eastAsia="宋体" w:cs="宋体"/>
          <w:color w:val="000000"/>
          <w:kern w:val="0"/>
          <w:szCs w:val="21"/>
          <w:highlight w:val="none"/>
          <w:lang w:val="en-US" w:eastAsia="zh-CN" w:bidi="ar"/>
        </w:rPr>
        <w:t>0</w:t>
      </w:r>
      <w:r>
        <w:rPr>
          <w:rFonts w:hint="eastAsia" w:ascii="宋体" w:hAnsi="宋体" w:eastAsia="宋体" w:cs="宋体"/>
          <w:color w:val="000000"/>
          <w:kern w:val="0"/>
          <w:szCs w:val="21"/>
          <w:highlight w:val="none"/>
          <w:lang w:bidi="ar"/>
        </w:rPr>
        <w:t xml:space="preserve">%以上。 </w:t>
      </w:r>
    </w:p>
    <w:p w14:paraId="10123CA6">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4）仪器定期质控抽检合格率达到90%以上。 </w:t>
      </w:r>
    </w:p>
    <w:p w14:paraId="31EDCDBD">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5）异常情况处理率达到100%。 </w:t>
      </w:r>
    </w:p>
    <w:p w14:paraId="73DC5664">
      <w:pPr>
        <w:widowControl/>
        <w:spacing w:line="360" w:lineRule="auto"/>
        <w:rPr>
          <w:highlight w:val="none"/>
        </w:rPr>
      </w:pPr>
      <w:r>
        <w:rPr>
          <w:rFonts w:hint="eastAsia" w:ascii="宋体" w:hAnsi="宋体" w:eastAsia="宋体" w:cs="宋体"/>
          <w:b/>
          <w:bCs/>
          <w:color w:val="000000"/>
          <w:kern w:val="0"/>
          <w:szCs w:val="21"/>
          <w:highlight w:val="none"/>
          <w:lang w:bidi="ar"/>
        </w:rPr>
        <w:t xml:space="preserve">运维工作一般维护内容： </w:t>
      </w:r>
    </w:p>
    <w:p w14:paraId="024DFD5E">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1）保持站房内部环境清洁，布置整齐，各仪器设备干净清洁，设备标识清楚。 </w:t>
      </w:r>
    </w:p>
    <w:p w14:paraId="5967BEEA">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2）检查供电及网络通讯的情况，保证系统正常运行，并与上级监测平台数据传输正常。 </w:t>
      </w:r>
    </w:p>
    <w:p w14:paraId="2A8ACD45">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3）保证空调正常工作，仪器运行温度保持在25℃左右，站房内温度日波动范围小于5℃，相对湿度保持在80%RH以下。 </w:t>
      </w:r>
    </w:p>
    <w:p w14:paraId="39476C4C">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4）指派专人维护，设备固定牢固，门窗关闭良好，人走关门，非工作人员未经许可不得入内。 </w:t>
      </w:r>
    </w:p>
    <w:p w14:paraId="295510AB">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5）定期检查消防和安全设施。 </w:t>
      </w:r>
    </w:p>
    <w:p w14:paraId="5E9D823E">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6）每次维护后做好系统运行维护记录。 </w:t>
      </w:r>
    </w:p>
    <w:p w14:paraId="1423A700">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7）进行维护时，规范操作，注意安全，防止意外发生。 </w:t>
      </w:r>
    </w:p>
    <w:p w14:paraId="6062FA92">
      <w:pPr>
        <w:widowControl/>
        <w:spacing w:line="360" w:lineRule="auto"/>
        <w:rPr>
          <w:highlight w:val="none"/>
        </w:rPr>
      </w:pPr>
      <w:r>
        <w:rPr>
          <w:rFonts w:hint="eastAsia" w:ascii="宋体" w:hAnsi="宋体" w:eastAsia="宋体" w:cs="宋体"/>
          <w:b/>
          <w:bCs/>
          <w:color w:val="000000"/>
          <w:kern w:val="0"/>
          <w:szCs w:val="21"/>
          <w:highlight w:val="none"/>
          <w:lang w:bidi="ar"/>
        </w:rPr>
        <w:t xml:space="preserve">日常维护工作： </w:t>
      </w:r>
    </w:p>
    <w:p w14:paraId="33A8ED12">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每天实时远程查看站点数据有无异常并形成记录，分析监测数据，对站点运行情况进行远程诊断和运行管理，内容包括： </w:t>
      </w:r>
    </w:p>
    <w:p w14:paraId="1758CC30">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1）判断系统数据采集与传输情况。 </w:t>
      </w:r>
    </w:p>
    <w:p w14:paraId="056EA8E0">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2）根据电源电压、站房温度、湿度数据判断站房内部情况。 </w:t>
      </w:r>
    </w:p>
    <w:p w14:paraId="066813B3">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3）运行数据有持续异常值时应在第一时间发现，立即通知委托方，在每日6时～23时出现的故障，在4小时内解决（站房外部通信线路、电力线路故障除外，但负责及时与相关部门联系积极解决）保证当日日报数据有效；其他时间出现的故障，在第二天12时前解决（站房外部通信线路、电力线路故障除外，但负责及时与相关部门联系积极解决）。 </w:t>
      </w:r>
    </w:p>
    <w:p w14:paraId="6772E438">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4）根据仪器分析数据判断仪器运行情况。 </w:t>
      </w:r>
    </w:p>
    <w:p w14:paraId="1AC0DAC0">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5）根据故障报警信号判断现场状况。 </w:t>
      </w:r>
    </w:p>
    <w:p w14:paraId="4B1D5204">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6）每日检查数据是否及时上传并正常发布，发现数据掉线及时恢复。 </w:t>
      </w:r>
    </w:p>
    <w:p w14:paraId="7F2D266D">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7）对二氧化硫、一氧化碳、臭氧、氮氧化物分析仪进行零点检查，如果漂移超过国家相关规范要求，将进行校准。 </w:t>
      </w:r>
    </w:p>
    <w:p w14:paraId="195B4F7B">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8）每天通过信阳市在线监测管理平台完成对前一日各监测点位原始小时值的审核，并提交小时审核结果和根据小时值生成的各点位日均值。 </w:t>
      </w:r>
    </w:p>
    <w:p w14:paraId="22A14EE7">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9）当日产生的数据，审核报送工作应于次日</w:t>
      </w:r>
      <w:r>
        <w:rPr>
          <w:rFonts w:hint="eastAsia" w:ascii="宋体" w:hAnsi="宋体" w:eastAsia="宋体" w:cs="宋体"/>
          <w:color w:val="000000"/>
          <w:kern w:val="0"/>
          <w:szCs w:val="21"/>
          <w:highlight w:val="none"/>
          <w:lang w:val="en-US" w:eastAsia="zh-CN" w:bidi="ar"/>
        </w:rPr>
        <w:t>下午14时</w:t>
      </w:r>
      <w:r>
        <w:rPr>
          <w:rFonts w:hint="eastAsia" w:ascii="宋体" w:hAnsi="宋体" w:eastAsia="宋体" w:cs="宋体"/>
          <w:color w:val="000000"/>
          <w:kern w:val="0"/>
          <w:szCs w:val="21"/>
          <w:highlight w:val="none"/>
          <w:lang w:bidi="ar"/>
        </w:rPr>
        <w:t>前完成，并按要求报送审核报表。当天因网络故障等原因未能完成数据审核报送的，可顺延一日审核报送，最多顺延二日。届时仍未完成数据审核与报送的站点，将不能报送3日以前的审核数据。对于未能按时在规定时间内完成审核的数据，须于数据产生一周内，以正式文件形式向甲方报送书面审核结果及未能按时完成审核的原因。</w:t>
      </w:r>
    </w:p>
    <w:p w14:paraId="7E6E7E24">
      <w:pPr>
        <w:widowControl/>
        <w:spacing w:line="360" w:lineRule="auto"/>
        <w:rPr>
          <w:highlight w:val="none"/>
        </w:rPr>
      </w:pPr>
      <w:r>
        <w:rPr>
          <w:rFonts w:hint="eastAsia" w:ascii="宋体" w:hAnsi="宋体" w:eastAsia="宋体" w:cs="宋体"/>
          <w:b/>
          <w:bCs/>
          <w:color w:val="000000"/>
          <w:kern w:val="0"/>
          <w:szCs w:val="21"/>
          <w:highlight w:val="none"/>
          <w:lang w:bidi="ar"/>
        </w:rPr>
        <w:t xml:space="preserve">运维工作具体内容： </w:t>
      </w:r>
    </w:p>
    <w:p w14:paraId="32F3FF42">
      <w:pPr>
        <w:widowControl/>
        <w:spacing w:line="360" w:lineRule="auto"/>
        <w:rPr>
          <w:highlight w:val="none"/>
        </w:rPr>
      </w:pPr>
      <w:r>
        <w:rPr>
          <w:rFonts w:hint="eastAsia" w:ascii="宋体" w:hAnsi="宋体" w:eastAsia="宋体" w:cs="宋体"/>
          <w:b/>
          <w:bCs/>
          <w:color w:val="000000"/>
          <w:kern w:val="0"/>
          <w:szCs w:val="21"/>
          <w:highlight w:val="none"/>
          <w:lang w:bidi="ar"/>
        </w:rPr>
        <w:t xml:space="preserve">a.每周定期巡检 </w:t>
      </w:r>
    </w:p>
    <w:p w14:paraId="153B0FBC">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每周至少巡视站点1次，并做好巡查记录，巡检时将完成的工作包括： </w:t>
      </w:r>
    </w:p>
    <w:p w14:paraId="07FAC508">
      <w:pPr>
        <w:widowControl/>
        <w:spacing w:line="360" w:lineRule="auto"/>
        <w:rPr>
          <w:highlight w:val="none"/>
        </w:rPr>
      </w:pPr>
      <w:r>
        <w:rPr>
          <w:rFonts w:hint="eastAsia" w:ascii="宋体" w:hAnsi="宋体" w:eastAsia="宋体" w:cs="宋体"/>
          <w:b/>
          <w:bCs/>
          <w:color w:val="000000"/>
          <w:kern w:val="0"/>
          <w:szCs w:val="21"/>
          <w:highlight w:val="none"/>
          <w:lang w:bidi="ar"/>
        </w:rPr>
        <w:t xml:space="preserve">站房内外环境 </w:t>
      </w:r>
    </w:p>
    <w:p w14:paraId="11D48C08">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1）查看站点设备是否齐备，无丢失和损坏；检查接地和防雷线路是否可靠，排风排气装置工作是否正常，是否有异常的噪声和气味。 </w:t>
      </w:r>
    </w:p>
    <w:p w14:paraId="2DDAF8CD">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2）检查采样和排气管路是否有漏气或堵塞现象，各分析仪器采样流量是否正常，防止尘土及特定季节的植物飞絮等阻塞过滤网。 </w:t>
      </w:r>
    </w:p>
    <w:p w14:paraId="43C89332">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3）检查各仪器的运行状况和工作参数，判断是否正常。例如流量、采样管温度、气温、湿度等是否正常。 </w:t>
      </w:r>
    </w:p>
    <w:p w14:paraId="26B2CB43">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4）采样头周围1m范围内无障碍物或其他采样口，与低矮障碍物之间的距离至少2米，与高大障碍物之间水平距离至少是障碍物高出采样口垂直距离的两倍以上。采样口具有 270°以上自由空间（自由空间包括主导风向）。采样头防护网完整。 </w:t>
      </w:r>
    </w:p>
    <w:p w14:paraId="54C61DF3">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5）对发现站房周围存在杂草或其他垃圾应第一时间提醒所属乡镇负责人及时清除，当周围树木生长超过规范规定的控制限时，对采样或监测光束有影响的树枝一并及时提醒乡镇负责人进行剪除。 </w:t>
      </w:r>
    </w:p>
    <w:p w14:paraId="2242BB85">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6）在经常出现雷雨的地区，将经常检查避雷设施是否可靠，站点房屋是否有漏雨现象，气象杆和天线是否有损坏，站房外围的其他设施是否有损坏或被水淹，如遇到以上问题将及时处理，保证系统安全运行。 </w:t>
      </w:r>
    </w:p>
    <w:p w14:paraId="6EF668F4">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7）检查站房内温度是否保持在20-30℃，相对湿度保持在80%以下，在冬、夏季节注意站房内外温差，若温差较大使采样装置出现冷凝水，将及时调整站房温度或对采样总管采取适当的温控措施，防止冷凝现象。 </w:t>
      </w:r>
    </w:p>
    <w:p w14:paraId="635FD5E2">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8）每周对站房内环境卫生进行检查，及时保洁。 </w:t>
      </w:r>
    </w:p>
    <w:p w14:paraId="73ECF699">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9）检查站房的安全实施，做好防火防盗工作，人走关门，非工作人员未经许可不得入内。</w:t>
      </w:r>
    </w:p>
    <w:p w14:paraId="72D2041A">
      <w:pPr>
        <w:widowControl/>
        <w:spacing w:line="360" w:lineRule="auto"/>
        <w:rPr>
          <w:highlight w:val="none"/>
        </w:rPr>
      </w:pPr>
      <w:r>
        <w:rPr>
          <w:rFonts w:hint="eastAsia" w:ascii="宋体" w:hAnsi="宋体" w:eastAsia="宋体" w:cs="宋体"/>
          <w:b/>
          <w:bCs/>
          <w:color w:val="000000"/>
          <w:kern w:val="0"/>
          <w:szCs w:val="21"/>
          <w:highlight w:val="none"/>
          <w:lang w:bidi="ar"/>
        </w:rPr>
        <w:t xml:space="preserve">监测系统情况 </w:t>
      </w:r>
    </w:p>
    <w:p w14:paraId="19051902">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1）查看仪器设备是否齐全，有无丢失和损坏；标准气钢瓶阀门是否漏气，标准气的消耗情况。 </w:t>
      </w:r>
    </w:p>
    <w:p w14:paraId="2AA71695">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2）检查采样和排气管路是否有漏气或堵塞现象，各分析仪器采样流量是否正常。 </w:t>
      </w:r>
    </w:p>
    <w:p w14:paraId="4462C0CC">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3）检查各分析仪器运行状况或工作参数是否正常，如有异常情况及时处理，保证仪器运行正常。 </w:t>
      </w:r>
    </w:p>
    <w:p w14:paraId="0BC85996">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4）检查标准气使用情况。对二氧化硫、一氧化碳、臭氧、氮氧化物分析仪进行零点、跨度检查，如果漂移超过国家相关规范要求，需要进行校准。 </w:t>
      </w:r>
    </w:p>
    <w:p w14:paraId="52C48137">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5）检查电路系统，保证系统供电正常，电压稳定。 </w:t>
      </w:r>
    </w:p>
    <w:p w14:paraId="38187F10">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6）检查通讯系统，保证站点与远程监控中心的连接正常，数据传输正常。 </w:t>
      </w:r>
    </w:p>
    <w:p w14:paraId="6FE7DF6F">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7）检查监测仪器的采样入口与采样支路管线结合部之间安装的过滤膜的污染情况，检查监测仪器散热风扇污染情况，按要求及时更换滤膜或清洗风扇。 </w:t>
      </w:r>
    </w:p>
    <w:p w14:paraId="1B66C235">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8）对气象仪器及能见度仪的运行情况进行检查。 </w:t>
      </w:r>
    </w:p>
    <w:p w14:paraId="515C2301">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9）仪器配备的干燥剂等将每周进行检查，及时更换。 </w:t>
      </w:r>
    </w:p>
    <w:p w14:paraId="78706CCD">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10）对监测仪器设备中的过滤装置，按仪器设备使用手册规定的更换和清洗周期，定期进行更换和清洗。对于采样支管与监测仪器连接处的颗粒物过滤膜要定期观察其污染状况并及时更换，一般情况下每2周至少更换1次滤膜。 </w:t>
      </w:r>
    </w:p>
    <w:p w14:paraId="18597B80">
      <w:pPr>
        <w:widowControl/>
        <w:spacing w:line="360" w:lineRule="auto"/>
        <w:rPr>
          <w:highlight w:val="none"/>
        </w:rPr>
      </w:pPr>
      <w:r>
        <w:rPr>
          <w:rFonts w:hint="eastAsia" w:ascii="宋体" w:hAnsi="宋体" w:eastAsia="宋体" w:cs="宋体"/>
          <w:b/>
          <w:bCs/>
          <w:color w:val="000000"/>
          <w:kern w:val="0"/>
          <w:szCs w:val="21"/>
          <w:highlight w:val="none"/>
          <w:lang w:bidi="ar"/>
        </w:rPr>
        <w:t xml:space="preserve">b.每月工作项目 </w:t>
      </w:r>
    </w:p>
    <w:p w14:paraId="22194725">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1）清洗各仪器散热防尘网和站房空调机的过滤网，防止尘土及特定季节的植物飞絮等阻塞过滤网。 </w:t>
      </w:r>
    </w:p>
    <w:p w14:paraId="1BF1CEEE">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2）检查气态分析仪、动态校准仪流量，超过国家相关规范要求，及时进行校准。 </w:t>
      </w:r>
    </w:p>
    <w:p w14:paraId="6326F6EA">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3）每月检查校准各仪器时钟。设备与数据采集仪连接的需要同时检查数据采集仪的时钟。 </w:t>
      </w:r>
    </w:p>
    <w:p w14:paraId="1CB863D3">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4）对仪器显示数据和数据采集仪之间的一致性进行检查。 </w:t>
      </w:r>
    </w:p>
    <w:p w14:paraId="6F7FB964">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5）每月对数据进行备份。 </w:t>
      </w:r>
    </w:p>
    <w:p w14:paraId="15A1B4FD">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6）若零气发生器连续使用，将根据情况及时排空空气压缩机储气瓶中的积水。定期观察滤水阀中的积水是否已到警戒线，若接近警戒线将立即将积水排干。如果使用变色干燥剂，经常观察干燥剂的变色情况，根据观察变色经验确定是否更换干燥剂。</w:t>
      </w:r>
    </w:p>
    <w:p w14:paraId="748C2CB9">
      <w:pPr>
        <w:widowControl/>
        <w:spacing w:line="360" w:lineRule="auto"/>
        <w:rPr>
          <w:highlight w:val="none"/>
        </w:rPr>
      </w:pPr>
      <w:r>
        <w:rPr>
          <w:rFonts w:hint="eastAsia" w:ascii="宋体" w:hAnsi="宋体" w:eastAsia="宋体" w:cs="宋体"/>
          <w:b/>
          <w:bCs/>
          <w:color w:val="000000"/>
          <w:kern w:val="0"/>
          <w:szCs w:val="21"/>
          <w:highlight w:val="none"/>
          <w:lang w:bidi="ar"/>
        </w:rPr>
        <w:t xml:space="preserve">c.每季度维护工作 </w:t>
      </w:r>
    </w:p>
    <w:p w14:paraId="716CA100">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1）采样总管及采样风机每季度至少清洗一次。 </w:t>
      </w:r>
    </w:p>
    <w:p w14:paraId="11E202F8">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2）每季度对气态污染物进行精密度校准。 </w:t>
      </w:r>
    </w:p>
    <w:p w14:paraId="094DF80B">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3）气体分析仪多点校准。 </w:t>
      </w:r>
    </w:p>
    <w:p w14:paraId="02A3D55A">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4）臭氧校准仪量值传递。 </w:t>
      </w:r>
    </w:p>
    <w:p w14:paraId="7BB9539A">
      <w:pPr>
        <w:widowControl/>
        <w:spacing w:line="360" w:lineRule="auto"/>
        <w:rPr>
          <w:highlight w:val="none"/>
        </w:rPr>
      </w:pPr>
      <w:r>
        <w:rPr>
          <w:rFonts w:hint="eastAsia" w:ascii="宋体" w:hAnsi="宋体" w:eastAsia="宋体" w:cs="宋体"/>
          <w:b/>
          <w:bCs/>
          <w:color w:val="000000"/>
          <w:kern w:val="0"/>
          <w:szCs w:val="21"/>
          <w:highlight w:val="none"/>
          <w:lang w:bidi="ar"/>
        </w:rPr>
        <w:t xml:space="preserve">d.每半年维护工作 </w:t>
      </w:r>
    </w:p>
    <w:p w14:paraId="6E9BC7EE">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1）对氮氧化物分析仪钼炉转化率进行检查。 </w:t>
      </w:r>
    </w:p>
    <w:p w14:paraId="449858A1">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2）对采样支管（从采样总管到监测仪器采样口之间的气路管线）和竹节式采样总管每半年至少清洗一次。 </w:t>
      </w:r>
    </w:p>
    <w:p w14:paraId="6951C6A7">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3）对零气源中的洗涤剂进行定期更换或再生。由于洗涤剂在各地使用频次和受污染程度不同，除按厂家提供的使用手册和质量保证手册规定要求更换洗涤剂外，观察低浓度监测时各项目的监测误差和零点漂移是否普遍增大，查明原因确定是否需要更换，一般情况下每6个月需更换一次。 </w:t>
      </w:r>
    </w:p>
    <w:p w14:paraId="76CF9CC5">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4）对气态污染物监测仪进行多点校准，绘制校准曲线，检验相关系数、斜率和截距。 </w:t>
      </w:r>
    </w:p>
    <w:p w14:paraId="409B9B31">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5）对动态校准仪流量进行20点检查，必要时校准。 </w:t>
      </w:r>
    </w:p>
    <w:p w14:paraId="47FAAD08">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6）采用臭氧传递标准对臭氧工作标准进行标准传递。 </w:t>
      </w:r>
    </w:p>
    <w:p w14:paraId="5B89C2F7">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7）更换零气源净化剂和氧化剂，对零气性能进行检查。 </w:t>
      </w:r>
    </w:p>
    <w:p w14:paraId="4747E0C6">
      <w:pPr>
        <w:widowControl/>
        <w:spacing w:line="360" w:lineRule="auto"/>
        <w:rPr>
          <w:highlight w:val="none"/>
        </w:rPr>
      </w:pPr>
      <w:r>
        <w:rPr>
          <w:rFonts w:hint="eastAsia" w:ascii="宋体" w:hAnsi="宋体" w:eastAsia="宋体" w:cs="宋体"/>
          <w:b/>
          <w:bCs/>
          <w:color w:val="000000"/>
          <w:kern w:val="0"/>
          <w:szCs w:val="21"/>
          <w:highlight w:val="none"/>
          <w:lang w:bidi="ar"/>
        </w:rPr>
        <w:t xml:space="preserve">e.年度维护工作 </w:t>
      </w:r>
    </w:p>
    <w:p w14:paraId="0110AB4B">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1）对所有的仪器进行预防性维护，按说明书的要求更换备件，更换所有泵组件。 </w:t>
      </w:r>
    </w:p>
    <w:p w14:paraId="28D821D8">
      <w:pPr>
        <w:widowControl/>
        <w:spacing w:line="360" w:lineRule="auto"/>
        <w:ind w:firstLine="420" w:firstLineChars="200"/>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2）每年进行1次监测仪器的准确度审核；颗粒物监测仪器的准确度审核采用采样器进行准确度审核。</w:t>
      </w:r>
    </w:p>
    <w:p w14:paraId="76E27DDE">
      <w:pPr>
        <w:widowControl/>
        <w:spacing w:line="360" w:lineRule="auto"/>
        <w:rPr>
          <w:highlight w:val="none"/>
        </w:rPr>
      </w:pPr>
      <w:r>
        <w:rPr>
          <w:rFonts w:hint="eastAsia" w:ascii="宋体" w:hAnsi="宋体" w:eastAsia="宋体" w:cs="宋体"/>
          <w:b/>
          <w:bCs/>
          <w:color w:val="000000"/>
          <w:kern w:val="0"/>
          <w:szCs w:val="21"/>
          <w:highlight w:val="none"/>
          <w:lang w:bidi="ar"/>
        </w:rPr>
        <w:t xml:space="preserve">f.日常运维其他相关内容 </w:t>
      </w:r>
    </w:p>
    <w:p w14:paraId="32620ECA">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1）每周更换的气态污染物监测仪器所用滤膜，必须为聚四氟乙烯材质。 </w:t>
      </w:r>
    </w:p>
    <w:p w14:paraId="333A1CE3">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2）及时制定每月工作计划，并严格按计划执行，若有变更将及时通知委托单位。 </w:t>
      </w:r>
    </w:p>
    <w:p w14:paraId="1974981D">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3）每月5日前，将上月各类记录表格交给委托单位，用于数据复核。 </w:t>
      </w:r>
    </w:p>
    <w:p w14:paraId="390716A0">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4）保证满足对站点故障的响应时间要求，当每日6时-23时出现的故障，将在2h之内响应，4h内解决（通信线路、电力线路故障除外，但应及时与相关部门联系积极解决）。若仪器故障无法排除，将在48h内提供并更换相应的备机，保证自动站正常运行。 </w:t>
      </w:r>
    </w:p>
    <w:p w14:paraId="352B3B96">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5）当仪器损坏报废不能修复时，将在24h内使用备机开展监测，并同时报告委托单位，委托单位确认仪器损坏情况及原因，酌情处理。 </w:t>
      </w:r>
    </w:p>
    <w:p w14:paraId="462B8147">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6）对于仪器超过6-8年以后出现报废，或者因自然灾害等不可抗力导致的仪器报废，运维公司须先行及时使用备机开展监测，并书面报告委托方，委托方根据实际情况酌情处理。 </w:t>
      </w:r>
    </w:p>
    <w:p w14:paraId="6845D163">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7）严禁擅自改变采样管路连接方式和更改仪器参数设置。 </w:t>
      </w:r>
    </w:p>
    <w:p w14:paraId="121C78A5">
      <w:pPr>
        <w:widowControl/>
        <w:spacing w:line="360" w:lineRule="auto"/>
        <w:rPr>
          <w:highlight w:val="none"/>
        </w:rPr>
      </w:pPr>
      <w:r>
        <w:rPr>
          <w:rFonts w:hint="eastAsia" w:ascii="宋体" w:hAnsi="宋体" w:eastAsia="宋体" w:cs="宋体"/>
          <w:b/>
          <w:bCs/>
          <w:color w:val="000000"/>
          <w:kern w:val="0"/>
          <w:szCs w:val="21"/>
          <w:highlight w:val="none"/>
          <w:lang w:bidi="ar"/>
        </w:rPr>
        <w:t xml:space="preserve">g.系统检修: </w:t>
      </w:r>
    </w:p>
    <w:p w14:paraId="5E990BC2">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紧急维修：除定期性运转维护工作外，当站点发生仪器故障或测值有异常情形时，即须进行紧急维修。将自行负责确认仪器功能是否正常运转，不以采购人是否通知故障需要维修为准。紧急维修主要针对发生故障的设备，对发生故障的设备进行检修，如果发生零件损坏，应当马上进行更换。如果零件没有库存，且设备无法正常运转，那么可提供同品质的备用设备，从而确保监测数据连续。 </w:t>
      </w:r>
    </w:p>
    <w:p w14:paraId="7BF5B657">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 若发现仪器故障，检修时需要仪器设备停用、拆除或更换的，应事先报经用户同意。 </w:t>
      </w:r>
    </w:p>
    <w:p w14:paraId="62BF5B09">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2) 在接到用户故障通知后，在工作时间4小时内赶到现场进行处理。对于一些容易诊断的故障，维修时间不超过24小时；对不易诊断和维修的仪器故障，若72小时内无法排除，安装备用仪器。 </w:t>
      </w:r>
    </w:p>
    <w:p w14:paraId="5F576944">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3) 仪器经过维修后，在正常使用和运行之前应确保维修内容全部完成，性能通过检测程序。若对监测仪器进行了核心部件更换，在正常使用和运行之前应对仪器进行一次多点校准和性能考核。 </w:t>
      </w:r>
    </w:p>
    <w:p w14:paraId="27884E90">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4) 若数据存储/控制仪发生故障，在24小时内给出解决方案，48小时内修复或更换，并保证已采集的数据不丢失。 </w:t>
      </w:r>
    </w:p>
    <w:p w14:paraId="03A94D88">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5) 备有足够的备品备件及备用仪器，对其使用情况进行定期清点，并根据实际需要进行增购，以不断调整和补充各种备品备件及备用仪器的存储数量。 </w:t>
      </w:r>
    </w:p>
    <w:p w14:paraId="32DE5BD6">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6) 检修人员进行维修时及时做好维修记录。维修记录应包含该故障发生的时间、故障现象、维修措 施和内容、维修结果、校准检查等记录。 </w:t>
      </w:r>
    </w:p>
    <w:p w14:paraId="515B5870">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7) 对于重大事故，严重影响系统运行或无法运行时，组织有关领导和技术人员到现场进行实地考察，经研究后，共同商定解决方案。 </w:t>
      </w:r>
    </w:p>
    <w:p w14:paraId="477B83D5">
      <w:pPr>
        <w:widowControl/>
        <w:spacing w:line="360" w:lineRule="auto"/>
        <w:rPr>
          <w:highlight w:val="none"/>
        </w:rPr>
      </w:pPr>
      <w:r>
        <w:rPr>
          <w:rFonts w:hint="eastAsia" w:ascii="宋体" w:hAnsi="宋体" w:eastAsia="宋体" w:cs="宋体"/>
          <w:b/>
          <w:bCs/>
          <w:color w:val="000000"/>
          <w:kern w:val="0"/>
          <w:szCs w:val="21"/>
          <w:highlight w:val="none"/>
          <w:lang w:bidi="ar"/>
        </w:rPr>
        <w:t xml:space="preserve">h.系统年度维护及大修工作： </w:t>
      </w:r>
    </w:p>
    <w:p w14:paraId="02DE9CC9">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为了保证气站的长期正常运行，将对系统进行年度维护和大修，必要时，对气路和关键零 部件进行更换，对不合理的地方进行改造。具体内容如下： </w:t>
      </w:r>
    </w:p>
    <w:p w14:paraId="408DF45C">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1）按仪器使用和维护手册规定的要求，根据使用寿命更换监测仪器中的紫外灯、光电倍增管、制冷装置、转换炉和抽气泵膜等关键零部件。 </w:t>
      </w:r>
    </w:p>
    <w:p w14:paraId="5652C368">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2）对仪器电路各测试点进行测试与调整。 </w:t>
      </w:r>
    </w:p>
    <w:p w14:paraId="03C8A1C3">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3）对仪器进行气路检漏和流量检查。 </w:t>
      </w:r>
    </w:p>
    <w:p w14:paraId="530528EE">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4）对仪器光路、气路、电路板和各种接头及插座等进行检查和清洁处理。 </w:t>
      </w:r>
    </w:p>
    <w:p w14:paraId="0C904F29">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5）对仪器的输出零点和满量程进行检查和校准，并检查仪器的输出线性。 </w:t>
      </w:r>
    </w:p>
    <w:p w14:paraId="1E1F2847">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6）在每次完成仪器年度维护和大修后，或更换了仪器中的关键零部件后，对仪器重新进行多点校准和检查。 </w:t>
      </w:r>
    </w:p>
    <w:p w14:paraId="125613E8">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7）对于完成年度维护和大修的仪器，进行连续 24 小时的仪器运行考核，在确认仪器工作正常后，方可投入使用。 </w:t>
      </w:r>
    </w:p>
    <w:p w14:paraId="6F990BDE">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8）维护人员在进行年度维护和大修时，及时做好维护记录。维护记录包含对仪器采取的维护措施和内容，以及校准核查等记录。 </w:t>
      </w:r>
    </w:p>
    <w:p w14:paraId="2F25D76F">
      <w:pPr>
        <w:widowControl/>
        <w:spacing w:line="360" w:lineRule="auto"/>
        <w:rPr>
          <w:highlight w:val="none"/>
        </w:rPr>
      </w:pPr>
      <w:r>
        <w:rPr>
          <w:rFonts w:hint="eastAsia" w:ascii="宋体" w:hAnsi="宋体" w:eastAsia="宋体" w:cs="宋体"/>
          <w:b/>
          <w:bCs/>
          <w:color w:val="000000"/>
          <w:kern w:val="0"/>
          <w:szCs w:val="21"/>
          <w:highlight w:val="none"/>
          <w:lang w:bidi="ar"/>
        </w:rPr>
        <w:t xml:space="preserve">i.日常运行维护记录 </w:t>
      </w:r>
    </w:p>
    <w:p w14:paraId="448DEB8C">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应建立空气自动站运行维护档案，将运维过程和运维事件进行详细记录，并归档管理，投标人应提供全套运行维护记录空白表。日常运行维护管理相关记录至少应包括： </w:t>
      </w:r>
    </w:p>
    <w:p w14:paraId="7AC62F71">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1）空气自动站运行维护记录表。 </w:t>
      </w:r>
    </w:p>
    <w:p w14:paraId="353B821D">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2）颗粒物监测仪校准检查记录。 </w:t>
      </w:r>
    </w:p>
    <w:p w14:paraId="42643CDA">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3）空气自动监测系统设备维修记录。 </w:t>
      </w:r>
    </w:p>
    <w:p w14:paraId="17D5F753">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4）空气自动监测系统备品、备件管理记录。 </w:t>
      </w:r>
    </w:p>
    <w:p w14:paraId="31093237">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5）空气自动站主要消耗材料使用登记记录。 </w:t>
      </w:r>
    </w:p>
    <w:p w14:paraId="1F0D2472">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6）空气自动站内外环境记录。</w:t>
      </w:r>
    </w:p>
    <w:p w14:paraId="5F3A1185">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7）标准物质使用记录。 </w:t>
      </w:r>
    </w:p>
    <w:p w14:paraId="094F400A">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8）空气自动检测系统仪器资料保管清单。 </w:t>
      </w:r>
    </w:p>
    <w:p w14:paraId="39A75F62">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还应建立其他可溯源记录，包括但不限于运维照片和视频记录等，以证明运维管理的合规性。 </w:t>
      </w:r>
    </w:p>
    <w:p w14:paraId="67A0DEFA">
      <w:pPr>
        <w:widowControl/>
        <w:spacing w:line="360" w:lineRule="auto"/>
        <w:rPr>
          <w:highlight w:val="none"/>
        </w:rPr>
      </w:pPr>
      <w:r>
        <w:rPr>
          <w:rFonts w:hint="eastAsia" w:ascii="宋体" w:hAnsi="宋体" w:eastAsia="宋体" w:cs="宋体"/>
          <w:b/>
          <w:bCs/>
          <w:color w:val="000000"/>
          <w:kern w:val="0"/>
          <w:szCs w:val="21"/>
          <w:highlight w:val="none"/>
          <w:lang w:bidi="ar"/>
        </w:rPr>
        <w:t xml:space="preserve">j.质量控制要求 </w:t>
      </w:r>
    </w:p>
    <w:p w14:paraId="5C96F888">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1）量值溯源要求：运维方用于校准的设备是否每年通过国家计量检定，一级标准气体是否在有效期内使用；现场需检查校准设备检定证书，标准气体证书。 </w:t>
      </w:r>
    </w:p>
    <w:p w14:paraId="2E47DAB0">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2）日常质量控制要求：分析仪在以下情况下需进行校准和再校准： 1.安装时；2.移动位置时；3.进行可能影响校准结果的维修或维护后；4.分析仪暂停工作一段时间后；5.有迹象表明分析仪工作不正常或校准结果出现变化；6.达到国家规范或本采购文件要求的校准周期或校准要求的。 </w:t>
      </w:r>
    </w:p>
    <w:p w14:paraId="4DD59974">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3）异常数据的审核与检验：运维方应按照要求每天登录空气质量发布平台对监测数据进行初步审核，并对监测数据异常值进行分析，查明原因并做好记录。 </w:t>
      </w:r>
    </w:p>
    <w:p w14:paraId="4F50F1F0">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4）质量控制资料整理：各种技术与质量文件均保持现行有效，可根据管理需要进行调整或修订。1.是否按照规范要求填写周、月度、季度、半年运维记录；2.运维记录表单是否规范和齐全存档；3.历史运维记录表单是否按照档案管理时间存放要求存放；运维记录表单是否有可追溯性。 </w:t>
      </w:r>
    </w:p>
    <w:p w14:paraId="6C0BBDC3">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5）设备维修质量控制要求：监测仪器被修复后，当其检测性能受到影响时，需要进行检验，采用标气测定、颗粒物手工比对等方法进行。仪器大修后（更换设备测试关键部件），应按顺序进行漂移实验（零点漂移、量程漂移)、重复性及准确度实验、多点线性实验，并提交相应报告。 </w:t>
      </w:r>
    </w:p>
    <w:p w14:paraId="34BB1EAC">
      <w:pPr>
        <w:widowControl/>
        <w:spacing w:line="360" w:lineRule="auto"/>
        <w:rPr>
          <w:highlight w:val="none"/>
        </w:rPr>
      </w:pPr>
      <w:r>
        <w:rPr>
          <w:rFonts w:hint="eastAsia" w:ascii="宋体" w:hAnsi="宋体" w:eastAsia="宋体" w:cs="宋体"/>
          <w:b/>
          <w:bCs/>
          <w:color w:val="000000"/>
          <w:kern w:val="0"/>
          <w:szCs w:val="21"/>
          <w:highlight w:val="none"/>
          <w:lang w:bidi="ar"/>
        </w:rPr>
        <w:t xml:space="preserve">k.其他技术要求 </w:t>
      </w:r>
    </w:p>
    <w:p w14:paraId="1BC5BCC2">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1）运维单位中标后须在信阳须设立运维支持机构，保障数据监控等日常维护工作的正常运行。 </w:t>
      </w:r>
    </w:p>
    <w:p w14:paraId="4F51BB5F">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2）运维单位应保证配备足够的专业技术人员负责日常维护站点。提供足够专职运维人员，从事空气自动站的数据监控和运维管理，运维人员应保持稳定，确需调整的，需经过委托方批准。运维单位配备专用巡检车辆负责站点日常维护，以满足运维时效性要求。</w:t>
      </w:r>
      <w:r>
        <w:rPr>
          <w:rFonts w:hint="eastAsia" w:ascii="宋体" w:hAnsi="宋体" w:eastAsia="宋体" w:cs="宋体"/>
          <w:b/>
          <w:bCs/>
          <w:color w:val="000000"/>
          <w:kern w:val="0"/>
          <w:szCs w:val="21"/>
          <w:highlight w:val="none"/>
          <w:lang w:bidi="ar"/>
        </w:rPr>
        <w:t xml:space="preserve">投标时必须提供人员、车辆配备方案和投标人拟组建的运维团队分工情况，人员、车辆配备数量应满足日常运维和多站点突发事件处置需要。 </w:t>
      </w:r>
    </w:p>
    <w:p w14:paraId="18B02693">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3）运维单位须为空气站配置颗粒物和气态监测设备正规备机，备机配备数量应满足常规应急需要。 </w:t>
      </w:r>
    </w:p>
    <w:p w14:paraId="14563628">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4）运维单位应以技术支持机构为单位配备专用仪器维修工具（包括便携式电脑、万用表、远程数据查询系统等)、通讯调试工具（包括各种硬件接口线、改线工具、接口调试软件及常用零部件等)。 </w:t>
      </w:r>
    </w:p>
    <w:p w14:paraId="458C8139">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5）运维单位须承诺中标后1个月内配齐本技术要求中监测设备和辅助设施中所涉及的耗材和备件。耗材按照不少于半年的消耗量配置，备件按照至少1年使用量配置。 </w:t>
      </w:r>
    </w:p>
    <w:p w14:paraId="0842F8A5">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6）落实属地其他行政管理部门对空气站点的监管要求，对存在的问题负责完成整改，如气象部门对防雷设施的监督检查等。 </w:t>
      </w:r>
    </w:p>
    <w:p w14:paraId="2DF44879">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7）每月定期向委托方提交《空气自动站运行月计划》、《空气自动站运行情况月报告》，向委托方陈述空气自动站的运行状况和事件处理情况，配合委托方开展空气站点数据分析和技术调查，如高值热点排查等。 </w:t>
      </w:r>
    </w:p>
    <w:p w14:paraId="16372A90">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8）发现向站点采样区域喷淋未上报，编造监测数据的，对空气站设备实施影响正常运行导致监测数据异常行为的，虚假填报运维记录的，违法空气站运行十不准规定的，擅自改变采样管路连接方式或更改仪器参数的，情节严重被上级部门通报的，有上述行为之一的委托方有权终止合同。 </w:t>
      </w:r>
    </w:p>
    <w:p w14:paraId="2486CD8C">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9）运维方负责运维人员的人身安全，在运维开展过程中出现的安全问题由运维方负责，委托人不予负责，无责任连带关系。投标文件中需列出运维人员安全管理规定。 </w:t>
      </w:r>
    </w:p>
    <w:p w14:paraId="7EDB76F6">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10）在运维期间，空气站内所有财产均</w:t>
      </w:r>
      <w:r>
        <w:rPr>
          <w:rFonts w:hint="eastAsia" w:ascii="宋体" w:hAnsi="宋体" w:cs="宋体"/>
          <w:color w:val="000000"/>
          <w:kern w:val="0"/>
          <w:szCs w:val="21"/>
          <w:highlight w:val="none"/>
          <w:lang w:eastAsia="zh-CN" w:bidi="ar"/>
        </w:rPr>
        <w:t>由</w:t>
      </w:r>
      <w:r>
        <w:rPr>
          <w:rFonts w:hint="eastAsia" w:ascii="宋体" w:hAnsi="宋体" w:eastAsia="宋体" w:cs="宋体"/>
          <w:color w:val="000000"/>
          <w:kern w:val="0"/>
          <w:szCs w:val="21"/>
          <w:highlight w:val="none"/>
          <w:lang w:bidi="ar"/>
        </w:rPr>
        <w:t xml:space="preserve">运维方负责，丢失、损坏照价赔偿，并承担相应责任。 </w:t>
      </w:r>
    </w:p>
    <w:p w14:paraId="26D71C84">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11）中标后，承诺按照委托方要求开展空气站运维交接工作。 </w:t>
      </w:r>
    </w:p>
    <w:p w14:paraId="0230145B">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12）运行维修工作界定：中标方负责系统所有仪器和附属设施的维护、维修和部件更换，并将维修费用计算在运维报价中。本服务内容同样包括由于外部原因意外丢失和损坏设备的维修或更换。 </w:t>
      </w:r>
    </w:p>
    <w:p w14:paraId="7992A13B">
      <w:pPr>
        <w:widowControl/>
        <w:spacing w:line="360" w:lineRule="auto"/>
        <w:rPr>
          <w:highlight w:val="none"/>
        </w:rPr>
      </w:pPr>
      <w:r>
        <w:rPr>
          <w:rFonts w:hint="eastAsia" w:ascii="宋体" w:hAnsi="宋体" w:eastAsia="宋体" w:cs="宋体"/>
          <w:b/>
          <w:bCs/>
          <w:color w:val="000000"/>
          <w:kern w:val="0"/>
          <w:szCs w:val="21"/>
          <w:highlight w:val="none"/>
          <w:lang w:bidi="ar"/>
        </w:rPr>
        <w:t xml:space="preserve">监督考核要求 </w:t>
      </w:r>
    </w:p>
    <w:p w14:paraId="1C9A895D">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定期组织对运维方履职情况进行考核，运维达不到约定目标的，委托方责令运维方限期整改，其中数据有效率考核涉及运维费用扣除。运维方应确保单站点数据有效率不低于 9</w:t>
      </w:r>
      <w:r>
        <w:rPr>
          <w:rFonts w:hint="eastAsia" w:ascii="宋体" w:hAnsi="宋体" w:eastAsia="宋体" w:cs="宋体"/>
          <w:color w:val="000000"/>
          <w:kern w:val="0"/>
          <w:szCs w:val="21"/>
          <w:highlight w:val="none"/>
          <w:lang w:val="en-US" w:eastAsia="zh-CN" w:bidi="ar"/>
        </w:rPr>
        <w:t>0</w:t>
      </w:r>
      <w:r>
        <w:rPr>
          <w:rFonts w:hint="eastAsia" w:ascii="宋体" w:hAnsi="宋体" w:eastAsia="宋体" w:cs="宋体"/>
          <w:color w:val="000000"/>
          <w:kern w:val="0"/>
          <w:szCs w:val="21"/>
          <w:highlight w:val="none"/>
          <w:lang w:bidi="ar"/>
        </w:rPr>
        <w:t>%(含)；低于8</w:t>
      </w:r>
      <w:r>
        <w:rPr>
          <w:rFonts w:hint="eastAsia" w:ascii="宋体" w:hAnsi="宋体" w:eastAsia="宋体" w:cs="宋体"/>
          <w:color w:val="000000"/>
          <w:kern w:val="0"/>
          <w:szCs w:val="21"/>
          <w:highlight w:val="none"/>
          <w:lang w:val="en-US" w:eastAsia="zh-CN" w:bidi="ar"/>
        </w:rPr>
        <w:t>5</w:t>
      </w:r>
      <w:r>
        <w:rPr>
          <w:rFonts w:hint="eastAsia" w:ascii="宋体" w:hAnsi="宋体" w:eastAsia="宋体" w:cs="宋体"/>
          <w:color w:val="000000"/>
          <w:kern w:val="0"/>
          <w:szCs w:val="21"/>
          <w:highlight w:val="none"/>
          <w:lang w:bidi="ar"/>
        </w:rPr>
        <w:t xml:space="preserve">%的，不予支付该站点当月运维费用；因电力原因和不可抗力原因导致有效率不足的除外。数据有效率：考核时段内各监测项目实际获取的质控合格的小时值监测数据量总和除以应获得小时值数据量总和。 </w:t>
      </w:r>
    </w:p>
    <w:p w14:paraId="76DF7839">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 xml:space="preserve">考核时段内单个站点任一监测项目有效数据量应满足《环境空气质量标准》（GB 3095-2012）中规定的污染物浓度数据有效性的最低要求，否则扣除该站点当月运维费用。因电力原因和不可抗力原因导致有效性不足的除外。 </w:t>
      </w:r>
    </w:p>
    <w:p w14:paraId="0BE87D40">
      <w:pPr>
        <w:widowControl/>
        <w:spacing w:line="360" w:lineRule="auto"/>
        <w:ind w:firstLine="420" w:firstLineChars="200"/>
        <w:rPr>
          <w:highlight w:val="none"/>
        </w:rPr>
      </w:pPr>
      <w:r>
        <w:rPr>
          <w:rFonts w:hint="eastAsia" w:ascii="宋体" w:hAnsi="宋体" w:eastAsia="宋体" w:cs="宋体"/>
          <w:color w:val="000000"/>
          <w:kern w:val="0"/>
          <w:szCs w:val="21"/>
          <w:highlight w:val="none"/>
          <w:lang w:bidi="ar"/>
        </w:rPr>
        <w:t>如上级对乡镇空气站点考核有变化的，按照上级最新要求执行。</w:t>
      </w:r>
    </w:p>
    <w:p w14:paraId="70474CE3">
      <w:pPr>
        <w:pStyle w:val="30"/>
        <w:numPr>
          <w:ilvl w:val="0"/>
          <w:numId w:val="0"/>
        </w:numPr>
        <w:jc w:val="center"/>
        <w:rPr>
          <w:rFonts w:hint="eastAsia" w:ascii="宋体" w:hAnsi="宋体" w:eastAsia="宋体" w:cs="宋体"/>
          <w:b/>
          <w:bCs/>
          <w:color w:val="auto"/>
          <w:sz w:val="32"/>
          <w:szCs w:val="32"/>
          <w:highlight w:val="none"/>
        </w:rPr>
      </w:pPr>
    </w:p>
    <w:p w14:paraId="57C6FF7D">
      <w:pPr>
        <w:pStyle w:val="30"/>
        <w:numPr>
          <w:ilvl w:val="0"/>
          <w:numId w:val="0"/>
        </w:numPr>
        <w:jc w:val="center"/>
        <w:rPr>
          <w:rFonts w:hint="eastAsia" w:ascii="宋体" w:hAnsi="宋体" w:eastAsia="宋体" w:cs="宋体"/>
          <w:b/>
          <w:bCs/>
          <w:color w:val="auto"/>
          <w:sz w:val="32"/>
          <w:szCs w:val="32"/>
          <w:highlight w:val="none"/>
        </w:rPr>
      </w:pPr>
    </w:p>
    <w:p w14:paraId="1A4A8A3C">
      <w:pPr>
        <w:pStyle w:val="30"/>
        <w:numPr>
          <w:ilvl w:val="0"/>
          <w:numId w:val="0"/>
        </w:numPr>
        <w:jc w:val="center"/>
        <w:rPr>
          <w:rFonts w:hint="eastAsia" w:ascii="宋体" w:hAnsi="宋体" w:eastAsia="宋体" w:cs="宋体"/>
          <w:b/>
          <w:bCs/>
          <w:color w:val="auto"/>
          <w:sz w:val="32"/>
          <w:szCs w:val="32"/>
          <w:highlight w:val="none"/>
        </w:rPr>
      </w:pPr>
    </w:p>
    <w:p w14:paraId="4AF8F057">
      <w:pPr>
        <w:pStyle w:val="30"/>
        <w:numPr>
          <w:ilvl w:val="0"/>
          <w:numId w:val="0"/>
        </w:num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第五章 合同主要条款及格式</w:t>
      </w:r>
    </w:p>
    <w:p w14:paraId="07ECF4B1">
      <w:pPr>
        <w:keepNext/>
        <w:spacing w:line="360" w:lineRule="auto"/>
        <w:jc w:val="center"/>
        <w:outlineLvl w:val="0"/>
        <w:rPr>
          <w:rFonts w:hint="eastAsia" w:ascii="宋体" w:hAnsi="宋体" w:eastAsia="宋体" w:cs="宋体"/>
          <w:b/>
          <w:bCs/>
          <w:color w:val="auto"/>
          <w:sz w:val="28"/>
          <w:szCs w:val="28"/>
          <w:highlight w:val="none"/>
        </w:rPr>
      </w:pPr>
      <w:bookmarkStart w:id="124" w:name="_Toc16661"/>
      <w:bookmarkStart w:id="125" w:name="_Toc3643"/>
      <w:bookmarkStart w:id="126" w:name="_Toc11495"/>
      <w:r>
        <w:rPr>
          <w:rFonts w:hint="eastAsia" w:ascii="宋体" w:hAnsi="宋体" w:eastAsia="宋体" w:cs="宋体"/>
          <w:b/>
          <w:bCs/>
          <w:color w:val="auto"/>
          <w:sz w:val="28"/>
          <w:szCs w:val="28"/>
          <w:highlight w:val="none"/>
        </w:rPr>
        <w:t>（合同格式仅供参考）</w:t>
      </w:r>
      <w:bookmarkEnd w:id="124"/>
      <w:bookmarkEnd w:id="125"/>
      <w:bookmarkEnd w:id="126"/>
    </w:p>
    <w:bookmarkEnd w:id="122"/>
    <w:bookmarkEnd w:id="123"/>
    <w:p w14:paraId="639D9BCB">
      <w:pPr>
        <w:spacing w:line="1000" w:lineRule="exact"/>
        <w:jc w:val="center"/>
        <w:rPr>
          <w:rFonts w:hint="eastAsia" w:ascii="宋体" w:hAnsi="宋体" w:eastAsia="宋体" w:cs="宋体"/>
          <w:b/>
          <w:sz w:val="44"/>
          <w:szCs w:val="44"/>
          <w:highlight w:val="none"/>
        </w:rPr>
      </w:pPr>
      <w:r>
        <w:rPr>
          <w:rFonts w:hint="eastAsia" w:ascii="宋体" w:hAnsi="宋体" w:eastAsia="宋体" w:cs="宋体"/>
          <w:b/>
          <w:bCs/>
          <w:sz w:val="52"/>
          <w:szCs w:val="52"/>
          <w:highlight w:val="none"/>
          <w:u w:val="single"/>
        </w:rPr>
        <w:t xml:space="preserve">                  </w:t>
      </w:r>
      <w:r>
        <w:rPr>
          <w:rFonts w:hint="eastAsia" w:ascii="宋体" w:hAnsi="宋体" w:eastAsia="宋体" w:cs="宋体"/>
          <w:b/>
          <w:bCs/>
          <w:sz w:val="52"/>
          <w:szCs w:val="52"/>
          <w:highlight w:val="none"/>
        </w:rPr>
        <w:t>项目</w:t>
      </w:r>
      <w:r>
        <w:rPr>
          <w:rFonts w:hint="eastAsia" w:ascii="宋体" w:hAnsi="宋体" w:eastAsia="宋体" w:cs="宋体"/>
          <w:b/>
          <w:sz w:val="48"/>
          <w:szCs w:val="48"/>
          <w:highlight w:val="none"/>
        </w:rPr>
        <w:t xml:space="preserve"> </w:t>
      </w:r>
    </w:p>
    <w:p w14:paraId="02215C0E">
      <w:pPr>
        <w:pStyle w:val="31"/>
        <w:spacing w:line="540" w:lineRule="exact"/>
        <w:jc w:val="center"/>
        <w:rPr>
          <w:rFonts w:hint="eastAsia" w:ascii="宋体" w:hAnsi="宋体" w:eastAsia="宋体" w:cs="宋体"/>
          <w:b w:val="0"/>
          <w:sz w:val="44"/>
          <w:szCs w:val="44"/>
          <w:highlight w:val="none"/>
        </w:rPr>
      </w:pPr>
      <w:r>
        <w:rPr>
          <w:rFonts w:hint="eastAsia" w:ascii="宋体" w:hAnsi="宋体" w:eastAsia="宋体" w:cs="宋体"/>
          <w:b w:val="0"/>
          <w:sz w:val="44"/>
          <w:szCs w:val="44"/>
          <w:highlight w:val="none"/>
        </w:rPr>
        <w:t xml:space="preserve"> </w:t>
      </w:r>
    </w:p>
    <w:p w14:paraId="0899F240">
      <w:pPr>
        <w:pStyle w:val="31"/>
        <w:spacing w:line="540" w:lineRule="exact"/>
        <w:jc w:val="center"/>
        <w:rPr>
          <w:rFonts w:hint="eastAsia" w:ascii="宋体" w:hAnsi="宋体" w:eastAsia="宋体" w:cs="宋体"/>
          <w:b w:val="0"/>
          <w:sz w:val="44"/>
          <w:szCs w:val="44"/>
          <w:highlight w:val="none"/>
        </w:rPr>
      </w:pPr>
      <w:r>
        <w:rPr>
          <w:rFonts w:hint="eastAsia" w:ascii="宋体" w:hAnsi="宋体" w:eastAsia="宋体" w:cs="宋体"/>
          <w:b w:val="0"/>
          <w:sz w:val="44"/>
          <w:szCs w:val="44"/>
          <w:highlight w:val="none"/>
        </w:rPr>
        <w:t xml:space="preserve"> </w:t>
      </w:r>
    </w:p>
    <w:p w14:paraId="2F5BAC89">
      <w:pPr>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合</w:t>
      </w:r>
    </w:p>
    <w:p w14:paraId="5BD30F16">
      <w:pPr>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 xml:space="preserve"> </w:t>
      </w:r>
    </w:p>
    <w:p w14:paraId="585410C1">
      <w:pPr>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同</w:t>
      </w:r>
    </w:p>
    <w:p w14:paraId="22AC0CFD">
      <w:pPr>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 xml:space="preserve"> </w:t>
      </w:r>
    </w:p>
    <w:p w14:paraId="3CD63D4D">
      <w:pPr>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书</w:t>
      </w:r>
    </w:p>
    <w:p w14:paraId="64B53CFA">
      <w:pPr>
        <w:pStyle w:val="31"/>
        <w:spacing w:line="540" w:lineRule="exact"/>
        <w:jc w:val="center"/>
        <w:rPr>
          <w:rFonts w:hint="eastAsia" w:ascii="宋体" w:hAnsi="宋体" w:eastAsia="宋体" w:cs="宋体"/>
          <w:b w:val="0"/>
          <w:sz w:val="44"/>
          <w:szCs w:val="44"/>
          <w:highlight w:val="none"/>
        </w:rPr>
      </w:pPr>
      <w:r>
        <w:rPr>
          <w:rFonts w:hint="eastAsia" w:ascii="宋体" w:hAnsi="宋体" w:eastAsia="宋体" w:cs="宋体"/>
          <w:b w:val="0"/>
          <w:sz w:val="44"/>
          <w:szCs w:val="44"/>
          <w:highlight w:val="none"/>
        </w:rPr>
        <w:t xml:space="preserve"> </w:t>
      </w:r>
    </w:p>
    <w:p w14:paraId="1D419435">
      <w:pPr>
        <w:pStyle w:val="31"/>
        <w:spacing w:line="540" w:lineRule="exact"/>
        <w:jc w:val="center"/>
        <w:rPr>
          <w:rFonts w:hint="eastAsia" w:ascii="宋体" w:hAnsi="宋体" w:eastAsia="宋体" w:cs="宋体"/>
          <w:b w:val="0"/>
          <w:sz w:val="44"/>
          <w:szCs w:val="44"/>
          <w:highlight w:val="none"/>
        </w:rPr>
      </w:pPr>
      <w:r>
        <w:rPr>
          <w:rFonts w:hint="eastAsia" w:ascii="宋体" w:hAnsi="宋体" w:eastAsia="宋体" w:cs="宋体"/>
          <w:b w:val="0"/>
          <w:sz w:val="44"/>
          <w:szCs w:val="44"/>
          <w:highlight w:val="none"/>
        </w:rPr>
        <w:t xml:space="preserve"> </w:t>
      </w:r>
    </w:p>
    <w:p w14:paraId="08F2EA8E">
      <w:pPr>
        <w:pStyle w:val="31"/>
        <w:spacing w:line="540" w:lineRule="exact"/>
        <w:jc w:val="center"/>
        <w:rPr>
          <w:rFonts w:hint="eastAsia" w:ascii="宋体" w:hAnsi="宋体" w:eastAsia="宋体" w:cs="宋体"/>
          <w:b w:val="0"/>
          <w:sz w:val="44"/>
          <w:szCs w:val="44"/>
          <w:highlight w:val="none"/>
        </w:rPr>
      </w:pPr>
      <w:r>
        <w:rPr>
          <w:rFonts w:hint="eastAsia" w:ascii="宋体" w:hAnsi="宋体" w:eastAsia="宋体" w:cs="宋体"/>
          <w:b w:val="0"/>
          <w:sz w:val="44"/>
          <w:szCs w:val="44"/>
          <w:highlight w:val="none"/>
        </w:rPr>
        <w:t xml:space="preserve"> </w:t>
      </w:r>
    </w:p>
    <w:p w14:paraId="24227B95">
      <w:pPr>
        <w:pStyle w:val="31"/>
        <w:spacing w:line="540" w:lineRule="exact"/>
        <w:rPr>
          <w:rFonts w:hint="eastAsia" w:ascii="宋体" w:hAnsi="宋体" w:eastAsia="宋体" w:cs="宋体"/>
          <w:b w:val="0"/>
          <w:sz w:val="30"/>
          <w:szCs w:val="30"/>
          <w:highlight w:val="none"/>
        </w:rPr>
      </w:pPr>
      <w:r>
        <w:rPr>
          <w:rFonts w:hint="eastAsia" w:ascii="宋体" w:hAnsi="宋体" w:eastAsia="宋体" w:cs="宋体"/>
          <w:b w:val="0"/>
          <w:sz w:val="30"/>
          <w:szCs w:val="30"/>
          <w:highlight w:val="none"/>
        </w:rPr>
        <w:t xml:space="preserve"> </w:t>
      </w:r>
    </w:p>
    <w:p w14:paraId="768BC50D">
      <w:pPr>
        <w:pStyle w:val="31"/>
        <w:spacing w:line="540" w:lineRule="exact"/>
        <w:rPr>
          <w:rFonts w:hint="eastAsia" w:ascii="宋体" w:hAnsi="宋体" w:eastAsia="宋体" w:cs="宋体"/>
          <w:b w:val="0"/>
          <w:sz w:val="30"/>
          <w:szCs w:val="30"/>
          <w:highlight w:val="none"/>
        </w:rPr>
      </w:pPr>
      <w:r>
        <w:rPr>
          <w:rFonts w:hint="eastAsia" w:ascii="宋体" w:hAnsi="宋体" w:eastAsia="宋体" w:cs="宋体"/>
          <w:b w:val="0"/>
          <w:sz w:val="30"/>
          <w:szCs w:val="30"/>
          <w:highlight w:val="none"/>
        </w:rPr>
        <w:t xml:space="preserve"> </w:t>
      </w:r>
    </w:p>
    <w:p w14:paraId="45BA4407">
      <w:pPr>
        <w:spacing w:line="360" w:lineRule="auto"/>
        <w:ind w:left="2100" w:hanging="2100" w:hangingChars="700"/>
        <w:rPr>
          <w:rFonts w:hint="eastAsia" w:ascii="宋体" w:hAnsi="宋体" w:eastAsia="宋体" w:cs="宋体"/>
          <w:sz w:val="30"/>
          <w:szCs w:val="30"/>
          <w:highlight w:val="none"/>
          <w:u w:val="single"/>
        </w:rPr>
      </w:pPr>
      <w:r>
        <w:rPr>
          <w:rFonts w:hint="eastAsia" w:ascii="宋体" w:hAnsi="宋体" w:eastAsia="宋体" w:cs="宋体"/>
          <w:sz w:val="30"/>
          <w:szCs w:val="30"/>
          <w:highlight w:val="none"/>
        </w:rPr>
        <w:t>项 目 名 称 ：</w:t>
      </w:r>
      <w:r>
        <w:rPr>
          <w:rFonts w:hint="eastAsia" w:ascii="宋体" w:hAnsi="宋体" w:eastAsia="宋体" w:cs="宋体"/>
          <w:sz w:val="30"/>
          <w:szCs w:val="30"/>
          <w:highlight w:val="none"/>
          <w:u w:val="single"/>
        </w:rPr>
        <w:t xml:space="preserve">                                      </w:t>
      </w:r>
    </w:p>
    <w:p w14:paraId="247FF589">
      <w:pPr>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t>委托方（甲方）：</w:t>
      </w:r>
      <w:r>
        <w:rPr>
          <w:rFonts w:hint="eastAsia" w:ascii="宋体" w:hAnsi="宋体" w:eastAsia="宋体" w:cs="宋体"/>
          <w:sz w:val="30"/>
          <w:szCs w:val="30"/>
          <w:highlight w:val="none"/>
          <w:u w:val="single"/>
        </w:rPr>
        <w:t xml:space="preserve">                                     </w:t>
      </w:r>
    </w:p>
    <w:p w14:paraId="6D6AC4FB">
      <w:pPr>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t>承揽方（乙方）：</w:t>
      </w:r>
      <w:r>
        <w:rPr>
          <w:rFonts w:hint="eastAsia" w:ascii="宋体" w:hAnsi="宋体" w:eastAsia="宋体" w:cs="宋体"/>
          <w:sz w:val="30"/>
          <w:szCs w:val="30"/>
          <w:highlight w:val="none"/>
          <w:u w:val="single"/>
        </w:rPr>
        <w:t xml:space="preserve">                                     </w:t>
      </w:r>
    </w:p>
    <w:p w14:paraId="0FCD786E">
      <w:pPr>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321C064D">
      <w:pPr>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B2319BD">
      <w:pPr>
        <w:spacing w:line="360" w:lineRule="auto"/>
        <w:jc w:val="center"/>
        <w:rPr>
          <w:rFonts w:hint="eastAsia" w:ascii="宋体" w:hAnsi="宋体" w:eastAsia="宋体" w:cs="宋体"/>
          <w:bCs/>
          <w:sz w:val="30"/>
          <w:szCs w:val="30"/>
          <w:highlight w:val="none"/>
        </w:rPr>
      </w:pPr>
      <w:r>
        <w:rPr>
          <w:rFonts w:hint="eastAsia" w:ascii="宋体" w:hAnsi="宋体" w:eastAsia="宋体" w:cs="宋体"/>
          <w:bCs/>
          <w:sz w:val="30"/>
          <w:szCs w:val="30"/>
          <w:highlight w:val="none"/>
        </w:rPr>
        <w:t>签订日期：</w:t>
      </w:r>
      <w:r>
        <w:rPr>
          <w:rFonts w:hint="eastAsia" w:ascii="宋体" w:hAnsi="宋体" w:cs="宋体"/>
          <w:bCs/>
          <w:sz w:val="30"/>
          <w:szCs w:val="30"/>
          <w:highlight w:val="none"/>
          <w:lang w:val="en-US" w:eastAsia="zh-CN"/>
        </w:rPr>
        <w:t xml:space="preserve"> </w:t>
      </w:r>
      <w:r>
        <w:rPr>
          <w:rFonts w:hint="eastAsia" w:ascii="宋体" w:hAnsi="宋体" w:eastAsia="宋体" w:cs="宋体"/>
          <w:bCs/>
          <w:sz w:val="30"/>
          <w:szCs w:val="30"/>
          <w:highlight w:val="none"/>
        </w:rPr>
        <w:t>年  月  日</w:t>
      </w:r>
    </w:p>
    <w:p w14:paraId="1EBAB012">
      <w:pPr>
        <w:kinsoku/>
        <w:autoSpaceDE/>
        <w:autoSpaceDN/>
        <w:adjustRightInd/>
        <w:snapToGrid/>
        <w:spacing w:line="360" w:lineRule="auto"/>
        <w:textAlignment w:val="auto"/>
        <w:rPr>
          <w:rFonts w:hint="eastAsia" w:ascii="宋体" w:hAnsi="宋体" w:eastAsia="宋体" w:cs="宋体"/>
          <w:sz w:val="28"/>
          <w:szCs w:val="28"/>
          <w:highlight w:val="none"/>
        </w:rPr>
        <w:sectPr>
          <w:pgSz w:w="11906" w:h="16838"/>
          <w:pgMar w:top="1474" w:right="1588" w:bottom="1474" w:left="1588" w:header="851" w:footer="992" w:gutter="0"/>
          <w:cols w:space="720" w:num="1"/>
          <w:docGrid w:type="lines" w:linePitch="312" w:charSpace="0"/>
        </w:sectPr>
      </w:pPr>
    </w:p>
    <w:p w14:paraId="44385D64">
      <w:pPr>
        <w:spacing w:line="540" w:lineRule="exact"/>
        <w:ind w:firstLine="539" w:firstLineChars="257"/>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委托方（甲方）：</w:t>
      </w:r>
      <w:r>
        <w:rPr>
          <w:rFonts w:hint="eastAsia" w:ascii="宋体" w:hAnsi="宋体" w:eastAsia="宋体" w:cs="宋体"/>
          <w:sz w:val="21"/>
          <w:szCs w:val="21"/>
          <w:highlight w:val="none"/>
          <w:u w:val="single"/>
        </w:rPr>
        <w:t xml:space="preserve">                                 </w:t>
      </w:r>
    </w:p>
    <w:p w14:paraId="6E1289EF">
      <w:pPr>
        <w:spacing w:line="540" w:lineRule="exact"/>
        <w:ind w:firstLine="539" w:firstLineChars="257"/>
        <w:rPr>
          <w:rFonts w:hint="eastAsia" w:ascii="宋体" w:hAnsi="宋体" w:eastAsia="宋体" w:cs="宋体"/>
          <w:sz w:val="21"/>
          <w:szCs w:val="21"/>
          <w:highlight w:val="none"/>
        </w:rPr>
      </w:pPr>
      <w:r>
        <w:rPr>
          <w:rFonts w:hint="eastAsia" w:ascii="宋体" w:hAnsi="宋体" w:eastAsia="宋体" w:cs="宋体"/>
          <w:sz w:val="21"/>
          <w:szCs w:val="21"/>
          <w:highlight w:val="none"/>
        </w:rPr>
        <w:t>承揽方（乙方）：</w:t>
      </w:r>
      <w:r>
        <w:rPr>
          <w:rFonts w:hint="eastAsia" w:ascii="宋体" w:hAnsi="宋体" w:eastAsia="宋体" w:cs="宋体"/>
          <w:sz w:val="21"/>
          <w:szCs w:val="21"/>
          <w:highlight w:val="none"/>
          <w:u w:val="single"/>
        </w:rPr>
        <w:t xml:space="preserve">                                </w:t>
      </w:r>
    </w:p>
    <w:p w14:paraId="655A774D">
      <w:pPr>
        <w:spacing w:line="540" w:lineRule="exact"/>
        <w:ind w:firstLine="539" w:firstLineChars="257"/>
        <w:rPr>
          <w:rFonts w:hint="eastAsia" w:ascii="宋体" w:hAnsi="宋体" w:eastAsia="宋体" w:cs="宋体"/>
          <w:sz w:val="21"/>
          <w:szCs w:val="21"/>
          <w:highlight w:val="none"/>
        </w:rPr>
      </w:pPr>
      <w:r>
        <w:rPr>
          <w:rFonts w:hint="eastAsia" w:ascii="宋体" w:hAnsi="宋体" w:eastAsia="宋体" w:cs="宋体"/>
          <w:sz w:val="21"/>
          <w:szCs w:val="21"/>
          <w:highlight w:val="none"/>
        </w:rPr>
        <w:t>签订地点：</w:t>
      </w:r>
      <w:r>
        <w:rPr>
          <w:rFonts w:hint="eastAsia" w:ascii="宋体" w:hAnsi="宋体" w:eastAsia="宋体" w:cs="宋体"/>
          <w:sz w:val="21"/>
          <w:szCs w:val="21"/>
          <w:highlight w:val="none"/>
          <w:u w:val="single"/>
        </w:rPr>
        <w:t xml:space="preserve">             </w:t>
      </w:r>
    </w:p>
    <w:p w14:paraId="28C5F2A1">
      <w:pPr>
        <w:spacing w:line="5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甲方根据项目工作需要，通过招标方式确定乙方为</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rPr>
        <w:t>项目技术协作单位（采购编号：信财    采购  ）。根据《中华人民共和国合同法》及国家有关法规规定、结合本项目的具体情况，经甲乙双方协商签订本合同。</w:t>
      </w:r>
    </w:p>
    <w:p w14:paraId="35FBE137">
      <w:pPr>
        <w:spacing w:line="540" w:lineRule="exact"/>
        <w:ind w:firstLine="498" w:firstLineChars="236"/>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第一条  合同价款</w:t>
      </w:r>
    </w:p>
    <w:p w14:paraId="196A5679">
      <w:pPr>
        <w:spacing w:line="54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1.本项目合同金额为：</w:t>
      </w:r>
      <w:r>
        <w:rPr>
          <w:rFonts w:hint="eastAsia" w:ascii="宋体" w:hAnsi="宋体" w:eastAsia="宋体" w:cs="宋体"/>
          <w:sz w:val="21"/>
          <w:szCs w:val="21"/>
          <w:highlight w:val="none"/>
          <w:u w:val="single"/>
        </w:rPr>
        <w:t>¥            元整（               ）。</w:t>
      </w:r>
    </w:p>
    <w:p w14:paraId="66823C17">
      <w:pPr>
        <w:spacing w:line="5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第二条 付款方式</w:t>
      </w:r>
    </w:p>
    <w:p w14:paraId="720B7F2C">
      <w:pPr>
        <w:spacing w:line="5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1.预付款：签订合同后1个工作日内支付合同总价的</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rPr>
        <w:t>，即</w:t>
      </w:r>
      <w:r>
        <w:rPr>
          <w:rFonts w:hint="eastAsia" w:ascii="宋体" w:hAnsi="宋体" w:eastAsia="宋体" w:cs="宋体"/>
          <w:sz w:val="21"/>
          <w:szCs w:val="21"/>
          <w:highlight w:val="none"/>
          <w:u w:val="single"/>
        </w:rPr>
        <w:t>¥       元整（大写人民币                ）。</w:t>
      </w:r>
      <w:r>
        <w:rPr>
          <w:rFonts w:hint="eastAsia" w:ascii="宋体" w:hAnsi="宋体" w:eastAsia="宋体" w:cs="宋体"/>
          <w:sz w:val="21"/>
          <w:szCs w:val="21"/>
          <w:highlight w:val="none"/>
        </w:rPr>
        <w:t>（建议预付比例不低于30%，对中小微企业预付比例建议不低于60%）</w:t>
      </w:r>
    </w:p>
    <w:p w14:paraId="118F8B97">
      <w:pPr>
        <w:spacing w:line="540" w:lineRule="exact"/>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2.乙方向甲方提交最终成果经市级、省级逐级检查无误后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日内，甲方向乙方支付剩余</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rPr>
        <w:t>%合同项目经费，即</w:t>
      </w:r>
      <w:r>
        <w:rPr>
          <w:rFonts w:hint="eastAsia" w:ascii="宋体" w:hAnsi="宋体" w:eastAsia="宋体" w:cs="宋体"/>
          <w:sz w:val="21"/>
          <w:szCs w:val="21"/>
          <w:highlight w:val="none"/>
          <w:u w:val="single"/>
        </w:rPr>
        <w:t>¥元整（大写人民币</w:t>
      </w:r>
      <w:r>
        <w:rPr>
          <w:rFonts w:hint="eastAsia" w:ascii="宋体" w:hAnsi="宋体" w:cs="宋体"/>
          <w:sz w:val="21"/>
          <w:szCs w:val="21"/>
          <w:highlight w:val="none"/>
          <w:u w:val="single"/>
          <w:lang w:val="en-US" w:eastAsia="zh-CN"/>
        </w:rPr>
        <w:t>:                )。</w:t>
      </w:r>
      <w:r>
        <w:rPr>
          <w:rFonts w:hint="eastAsia" w:ascii="宋体" w:hAnsi="宋体" w:eastAsia="宋体" w:cs="宋体"/>
          <w:sz w:val="21"/>
          <w:szCs w:val="21"/>
          <w:highlight w:val="none"/>
          <w:u w:val="single"/>
        </w:rPr>
        <w:t xml:space="preserve"> </w:t>
      </w:r>
    </w:p>
    <w:p w14:paraId="0112AEF0">
      <w:pPr>
        <w:spacing w:line="5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第三条  工作内容</w:t>
      </w:r>
    </w:p>
    <w:p w14:paraId="77D06412">
      <w:pPr>
        <w:spacing w:line="540" w:lineRule="exact"/>
        <w:ind w:firstLine="498" w:firstLineChars="236"/>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第四条  执行技术标准第五条  </w:t>
      </w:r>
    </w:p>
    <w:p w14:paraId="603BDBE5">
      <w:pPr>
        <w:spacing w:line="540" w:lineRule="exact"/>
        <w:ind w:firstLine="498" w:firstLineChars="236"/>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第五条  提交的成果</w:t>
      </w:r>
    </w:p>
    <w:p w14:paraId="1C5F71BD">
      <w:pPr>
        <w:spacing w:line="540" w:lineRule="exact"/>
        <w:ind w:firstLine="498" w:firstLineChars="236"/>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第六条  质量标准</w:t>
      </w:r>
    </w:p>
    <w:p w14:paraId="24EAD2B4">
      <w:pPr>
        <w:spacing w:line="540" w:lineRule="exact"/>
        <w:ind w:firstLine="498" w:firstLineChars="236"/>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第七条  甲方的义务</w:t>
      </w:r>
    </w:p>
    <w:p w14:paraId="6A976457">
      <w:pPr>
        <w:spacing w:line="540" w:lineRule="exact"/>
        <w:ind w:firstLine="498" w:firstLineChars="236"/>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第八条  乙方的义务</w:t>
      </w:r>
    </w:p>
    <w:p w14:paraId="1B5836EC">
      <w:pPr>
        <w:spacing w:line="540" w:lineRule="exact"/>
        <w:ind w:firstLine="498" w:firstLineChars="236"/>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第九条  项目完成工期</w:t>
      </w:r>
    </w:p>
    <w:p w14:paraId="0C367CF0">
      <w:pPr>
        <w:spacing w:line="540" w:lineRule="exact"/>
        <w:ind w:firstLine="498" w:firstLineChars="236"/>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第十条 </w:t>
      </w: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rPr>
        <w:t xml:space="preserve"> 保密</w:t>
      </w:r>
    </w:p>
    <w:p w14:paraId="2590A3E5">
      <w:pPr>
        <w:spacing w:line="540" w:lineRule="exact"/>
        <w:ind w:firstLine="498" w:firstLineChars="236"/>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第十一条  违约责任</w:t>
      </w:r>
    </w:p>
    <w:p w14:paraId="018293CA">
      <w:pPr>
        <w:spacing w:line="540" w:lineRule="exact"/>
        <w:ind w:firstLine="498" w:firstLineChars="236"/>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第十二条  合同生效、变更与终止</w:t>
      </w:r>
    </w:p>
    <w:p w14:paraId="09FD6F60">
      <w:pPr>
        <w:spacing w:line="540" w:lineRule="exact"/>
        <w:ind w:firstLine="498" w:firstLineChars="236"/>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第十三条  </w:t>
      </w:r>
      <w:r>
        <w:rPr>
          <w:rFonts w:hint="eastAsia" w:ascii="宋体" w:hAnsi="宋体" w:eastAsia="宋体" w:cs="宋体"/>
          <w:sz w:val="21"/>
          <w:szCs w:val="21"/>
          <w:highlight w:val="none"/>
        </w:rPr>
        <w:t>本合同未尽事宜，由双方协商处理。</w:t>
      </w:r>
    </w:p>
    <w:p w14:paraId="3D164777">
      <w:pPr>
        <w:spacing w:line="540" w:lineRule="exact"/>
        <w:ind w:firstLine="498" w:firstLineChars="236"/>
        <w:rPr>
          <w:rFonts w:hint="eastAsia" w:ascii="宋体" w:hAnsi="宋体" w:eastAsia="宋体" w:cs="宋体"/>
          <w:sz w:val="21"/>
          <w:szCs w:val="21"/>
          <w:highlight w:val="none"/>
        </w:rPr>
      </w:pPr>
      <w:r>
        <w:rPr>
          <w:rFonts w:hint="eastAsia" w:ascii="宋体" w:hAnsi="宋体" w:eastAsia="宋体" w:cs="宋体"/>
          <w:b/>
          <w:bCs/>
          <w:sz w:val="21"/>
          <w:szCs w:val="21"/>
          <w:highlight w:val="none"/>
        </w:rPr>
        <w:t xml:space="preserve">第十四条  </w:t>
      </w:r>
      <w:r>
        <w:rPr>
          <w:rFonts w:hint="eastAsia" w:ascii="宋体" w:hAnsi="宋体" w:eastAsia="宋体" w:cs="宋体"/>
          <w:sz w:val="21"/>
          <w:szCs w:val="21"/>
          <w:highlight w:val="none"/>
        </w:rPr>
        <w:t>本合同一式   份，具有同等效力，甲、乙双方各执</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rPr>
        <w:t>份，合同自双方签字盖章之日起生效。</w:t>
      </w:r>
    </w:p>
    <w:p w14:paraId="3D1592F1">
      <w:pPr>
        <w:pStyle w:val="22"/>
        <w:spacing w:line="54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tbl>
      <w:tblPr>
        <w:tblStyle w:val="23"/>
        <w:tblW w:w="8663" w:type="dxa"/>
        <w:tblInd w:w="135" w:type="dxa"/>
        <w:tblLayout w:type="fixed"/>
        <w:tblCellMar>
          <w:top w:w="0" w:type="dxa"/>
          <w:left w:w="0" w:type="dxa"/>
          <w:bottom w:w="0" w:type="dxa"/>
          <w:right w:w="0" w:type="dxa"/>
        </w:tblCellMar>
      </w:tblPr>
      <w:tblGrid>
        <w:gridCol w:w="4229"/>
        <w:gridCol w:w="4434"/>
      </w:tblGrid>
      <w:tr w14:paraId="77B4AAC9">
        <w:tblPrEx>
          <w:tblCellMar>
            <w:top w:w="0" w:type="dxa"/>
            <w:left w:w="0" w:type="dxa"/>
            <w:bottom w:w="0" w:type="dxa"/>
            <w:right w:w="0" w:type="dxa"/>
          </w:tblCellMar>
        </w:tblPrEx>
        <w:trPr>
          <w:trHeight w:val="871" w:hRule="atLeast"/>
        </w:trPr>
        <w:tc>
          <w:tcPr>
            <w:tcW w:w="4229" w:type="dxa"/>
            <w:tcBorders>
              <w:top w:val="nil"/>
              <w:left w:val="nil"/>
              <w:bottom w:val="nil"/>
              <w:right w:val="nil"/>
            </w:tcBorders>
          </w:tcPr>
          <w:p w14:paraId="4411CF41">
            <w:pPr>
              <w:spacing w:line="540" w:lineRule="exact"/>
              <w:ind w:left="840" w:hanging="630" w:hangingChars="300"/>
              <w:rPr>
                <w:rFonts w:hint="eastAsia" w:ascii="宋体" w:hAnsi="宋体" w:eastAsia="宋体" w:cs="宋体"/>
                <w:sz w:val="21"/>
                <w:szCs w:val="21"/>
                <w:highlight w:val="none"/>
              </w:rPr>
            </w:pPr>
            <w:r>
              <w:rPr>
                <w:rFonts w:hint="eastAsia" w:ascii="宋体" w:hAnsi="宋体" w:eastAsia="宋体" w:cs="宋体"/>
                <w:sz w:val="21"/>
                <w:szCs w:val="21"/>
                <w:highlight w:val="none"/>
              </w:rPr>
              <w:t>甲方：    （公章）</w:t>
            </w:r>
          </w:p>
        </w:tc>
        <w:tc>
          <w:tcPr>
            <w:tcW w:w="4434" w:type="dxa"/>
            <w:tcBorders>
              <w:top w:val="nil"/>
              <w:left w:val="nil"/>
              <w:bottom w:val="nil"/>
              <w:right w:val="nil"/>
            </w:tcBorders>
            <w:vAlign w:val="center"/>
          </w:tcPr>
          <w:p w14:paraId="795BB361">
            <w:pPr>
              <w:spacing w:line="540" w:lineRule="exact"/>
              <w:ind w:left="909" w:leftChars="133" w:hanging="630" w:hangingChars="300"/>
              <w:rPr>
                <w:rFonts w:hint="eastAsia" w:ascii="宋体" w:hAnsi="宋体" w:eastAsia="宋体" w:cs="宋体"/>
                <w:sz w:val="21"/>
                <w:szCs w:val="21"/>
                <w:highlight w:val="none"/>
              </w:rPr>
            </w:pPr>
            <w:r>
              <w:rPr>
                <w:rFonts w:hint="eastAsia" w:ascii="宋体" w:hAnsi="宋体" w:eastAsia="宋体" w:cs="宋体"/>
                <w:sz w:val="21"/>
                <w:szCs w:val="21"/>
                <w:highlight w:val="none"/>
              </w:rPr>
              <w:t>乙方：（公章）</w:t>
            </w:r>
          </w:p>
        </w:tc>
      </w:tr>
      <w:tr w14:paraId="11BCB569">
        <w:tblPrEx>
          <w:tblCellMar>
            <w:top w:w="0" w:type="dxa"/>
            <w:left w:w="0" w:type="dxa"/>
            <w:bottom w:w="0" w:type="dxa"/>
            <w:right w:w="0" w:type="dxa"/>
          </w:tblCellMar>
        </w:tblPrEx>
        <w:trPr>
          <w:trHeight w:val="898" w:hRule="atLeast"/>
        </w:trPr>
        <w:tc>
          <w:tcPr>
            <w:tcW w:w="4229" w:type="dxa"/>
            <w:tcBorders>
              <w:top w:val="nil"/>
              <w:left w:val="nil"/>
              <w:bottom w:val="nil"/>
              <w:right w:val="nil"/>
            </w:tcBorders>
            <w:vAlign w:val="center"/>
          </w:tcPr>
          <w:p w14:paraId="2A5EBD01">
            <w:pPr>
              <w:spacing w:line="540" w:lineRule="exact"/>
              <w:ind w:left="840" w:hanging="630" w:hangingChars="300"/>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tc>
        <w:tc>
          <w:tcPr>
            <w:tcW w:w="4434" w:type="dxa"/>
            <w:tcBorders>
              <w:top w:val="nil"/>
              <w:left w:val="nil"/>
              <w:bottom w:val="nil"/>
              <w:right w:val="nil"/>
            </w:tcBorders>
          </w:tcPr>
          <w:p w14:paraId="5C3C3594">
            <w:pPr>
              <w:spacing w:line="5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地址：号</w:t>
            </w:r>
          </w:p>
        </w:tc>
      </w:tr>
      <w:tr w14:paraId="523ED703">
        <w:tblPrEx>
          <w:tblCellMar>
            <w:top w:w="0" w:type="dxa"/>
            <w:left w:w="0" w:type="dxa"/>
            <w:bottom w:w="0" w:type="dxa"/>
            <w:right w:w="0" w:type="dxa"/>
          </w:tblCellMar>
        </w:tblPrEx>
        <w:tc>
          <w:tcPr>
            <w:tcW w:w="4229" w:type="dxa"/>
            <w:tcBorders>
              <w:top w:val="nil"/>
              <w:left w:val="nil"/>
              <w:bottom w:val="nil"/>
              <w:right w:val="nil"/>
            </w:tcBorders>
            <w:vAlign w:val="center"/>
          </w:tcPr>
          <w:p w14:paraId="553E35FA">
            <w:pPr>
              <w:spacing w:line="5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tc>
        <w:tc>
          <w:tcPr>
            <w:tcW w:w="4434" w:type="dxa"/>
            <w:tcBorders>
              <w:top w:val="nil"/>
              <w:left w:val="nil"/>
              <w:bottom w:val="nil"/>
              <w:right w:val="nil"/>
            </w:tcBorders>
            <w:vAlign w:val="center"/>
          </w:tcPr>
          <w:p w14:paraId="6F17A7AC">
            <w:pPr>
              <w:spacing w:line="5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tc>
      </w:tr>
      <w:tr w14:paraId="1598AF79">
        <w:tblPrEx>
          <w:tblCellMar>
            <w:top w:w="0" w:type="dxa"/>
            <w:left w:w="0" w:type="dxa"/>
            <w:bottom w:w="0" w:type="dxa"/>
            <w:right w:w="0" w:type="dxa"/>
          </w:tblCellMar>
        </w:tblPrEx>
        <w:tc>
          <w:tcPr>
            <w:tcW w:w="4229" w:type="dxa"/>
            <w:tcBorders>
              <w:top w:val="nil"/>
              <w:left w:val="nil"/>
              <w:bottom w:val="nil"/>
              <w:right w:val="nil"/>
            </w:tcBorders>
            <w:vAlign w:val="center"/>
          </w:tcPr>
          <w:p w14:paraId="158FA842">
            <w:pPr>
              <w:spacing w:line="5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p>
        </w:tc>
        <w:tc>
          <w:tcPr>
            <w:tcW w:w="4434" w:type="dxa"/>
            <w:tcBorders>
              <w:top w:val="nil"/>
              <w:left w:val="nil"/>
              <w:bottom w:val="nil"/>
              <w:right w:val="nil"/>
            </w:tcBorders>
            <w:vAlign w:val="center"/>
          </w:tcPr>
          <w:p w14:paraId="7F60212A">
            <w:pPr>
              <w:spacing w:line="5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p>
        </w:tc>
      </w:tr>
      <w:tr w14:paraId="35E0460E">
        <w:tblPrEx>
          <w:tblCellMar>
            <w:top w:w="0" w:type="dxa"/>
            <w:left w:w="0" w:type="dxa"/>
            <w:bottom w:w="0" w:type="dxa"/>
            <w:right w:w="0" w:type="dxa"/>
          </w:tblCellMar>
        </w:tblPrEx>
        <w:trPr>
          <w:trHeight w:val="495" w:hRule="atLeast"/>
        </w:trPr>
        <w:tc>
          <w:tcPr>
            <w:tcW w:w="4229" w:type="dxa"/>
            <w:tcBorders>
              <w:top w:val="nil"/>
              <w:left w:val="nil"/>
              <w:bottom w:val="nil"/>
              <w:right w:val="nil"/>
            </w:tcBorders>
            <w:vAlign w:val="center"/>
          </w:tcPr>
          <w:p w14:paraId="7F746748">
            <w:pPr>
              <w:spacing w:line="5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tc>
        <w:tc>
          <w:tcPr>
            <w:tcW w:w="4434" w:type="dxa"/>
            <w:tcBorders>
              <w:top w:val="nil"/>
              <w:left w:val="nil"/>
              <w:bottom w:val="nil"/>
              <w:right w:val="nil"/>
            </w:tcBorders>
            <w:vAlign w:val="center"/>
          </w:tcPr>
          <w:p w14:paraId="1454D0B1">
            <w:pPr>
              <w:spacing w:line="5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tc>
      </w:tr>
      <w:tr w14:paraId="431F583A">
        <w:tblPrEx>
          <w:tblCellMar>
            <w:top w:w="0" w:type="dxa"/>
            <w:left w:w="0" w:type="dxa"/>
            <w:bottom w:w="0" w:type="dxa"/>
            <w:right w:w="0" w:type="dxa"/>
          </w:tblCellMar>
        </w:tblPrEx>
        <w:trPr>
          <w:trHeight w:val="495" w:hRule="atLeast"/>
        </w:trPr>
        <w:tc>
          <w:tcPr>
            <w:tcW w:w="4229" w:type="dxa"/>
            <w:tcBorders>
              <w:top w:val="nil"/>
              <w:left w:val="nil"/>
              <w:bottom w:val="nil"/>
              <w:right w:val="nil"/>
            </w:tcBorders>
            <w:vAlign w:val="center"/>
          </w:tcPr>
          <w:p w14:paraId="18C5D994">
            <w:pPr>
              <w:spacing w:line="5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签约时间：</w:t>
            </w:r>
          </w:p>
        </w:tc>
        <w:tc>
          <w:tcPr>
            <w:tcW w:w="4434" w:type="dxa"/>
            <w:tcBorders>
              <w:top w:val="nil"/>
              <w:left w:val="nil"/>
              <w:bottom w:val="nil"/>
              <w:right w:val="nil"/>
            </w:tcBorders>
            <w:vAlign w:val="center"/>
          </w:tcPr>
          <w:p w14:paraId="6C019021">
            <w:pPr>
              <w:spacing w:line="5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签约时间：</w:t>
            </w:r>
          </w:p>
        </w:tc>
      </w:tr>
    </w:tbl>
    <w:p w14:paraId="63A4B301">
      <w:pPr>
        <w:pStyle w:val="22"/>
        <w:spacing w:line="540" w:lineRule="exact"/>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040B4990">
      <w:pPr>
        <w:spacing w:line="54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合同融资注意事项：</w:t>
      </w:r>
    </w:p>
    <w:p w14:paraId="1D1573B2">
      <w:pPr>
        <w:numPr>
          <w:ilvl w:val="0"/>
          <w:numId w:val="4"/>
        </w:numPr>
        <w:spacing w:line="54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供应商预进行合同融资的，在签订合同时，供应商的合同账号需为合同融资行指定的账户和账号。</w:t>
      </w:r>
    </w:p>
    <w:p w14:paraId="42E67814">
      <w:pPr>
        <w:pStyle w:val="22"/>
        <w:spacing w:line="540" w:lineRule="exact"/>
        <w:ind w:left="0" w:leftChars="0" w:firstLine="0" w:firstLine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rPr>
        <w:t>预进行合同融资的合同，采购人在合同备案时，需将备案系统中供应商默认账户和账号修改为合同融资行指定的账户和账号，然后再提交合同备案。</w:t>
      </w:r>
    </w:p>
    <w:p w14:paraId="46AE013C">
      <w:pPr>
        <w:pStyle w:val="31"/>
        <w:spacing w:line="540" w:lineRule="exact"/>
        <w:jc w:val="center"/>
        <w:rPr>
          <w:rFonts w:hint="eastAsia" w:ascii="宋体" w:hAnsi="宋体" w:eastAsia="宋体" w:cs="宋体"/>
          <w:b w:val="0"/>
          <w:color w:val="auto"/>
          <w:sz w:val="44"/>
          <w:szCs w:val="44"/>
          <w:highlight w:val="none"/>
        </w:rPr>
      </w:pPr>
    </w:p>
    <w:p w14:paraId="56C087B6">
      <w:pPr>
        <w:pStyle w:val="31"/>
        <w:spacing w:line="540" w:lineRule="exact"/>
        <w:jc w:val="center"/>
        <w:rPr>
          <w:rFonts w:hint="eastAsia" w:ascii="宋体" w:hAnsi="宋体" w:eastAsia="宋体" w:cs="宋体"/>
          <w:b w:val="0"/>
          <w:color w:val="auto"/>
          <w:sz w:val="44"/>
          <w:szCs w:val="44"/>
          <w:highlight w:val="none"/>
        </w:rPr>
      </w:pPr>
    </w:p>
    <w:p w14:paraId="0C9C1428">
      <w:pPr>
        <w:pStyle w:val="31"/>
        <w:spacing w:line="540" w:lineRule="exact"/>
        <w:jc w:val="center"/>
        <w:rPr>
          <w:rFonts w:hint="eastAsia" w:ascii="宋体" w:hAnsi="宋体" w:eastAsia="宋体" w:cs="宋体"/>
          <w:b w:val="0"/>
          <w:color w:val="auto"/>
          <w:sz w:val="44"/>
          <w:szCs w:val="44"/>
          <w:highlight w:val="none"/>
        </w:rPr>
      </w:pPr>
    </w:p>
    <w:p w14:paraId="03D54F53">
      <w:pPr>
        <w:pStyle w:val="31"/>
        <w:spacing w:line="540" w:lineRule="exact"/>
        <w:jc w:val="center"/>
        <w:rPr>
          <w:rFonts w:hint="eastAsia" w:ascii="宋体" w:hAnsi="宋体" w:eastAsia="宋体" w:cs="宋体"/>
          <w:b w:val="0"/>
          <w:color w:val="auto"/>
          <w:sz w:val="44"/>
          <w:szCs w:val="44"/>
          <w:highlight w:val="none"/>
        </w:rPr>
      </w:pPr>
    </w:p>
    <w:p w14:paraId="1FB69053">
      <w:pPr>
        <w:pStyle w:val="31"/>
        <w:spacing w:line="540" w:lineRule="exact"/>
        <w:jc w:val="center"/>
        <w:rPr>
          <w:rFonts w:hint="eastAsia" w:ascii="宋体" w:hAnsi="宋体" w:eastAsia="宋体" w:cs="宋体"/>
          <w:b w:val="0"/>
          <w:color w:val="auto"/>
          <w:sz w:val="44"/>
          <w:szCs w:val="44"/>
          <w:highlight w:val="none"/>
        </w:rPr>
      </w:pPr>
    </w:p>
    <w:p w14:paraId="20FBE0B3">
      <w:pPr>
        <w:pStyle w:val="31"/>
        <w:spacing w:line="540" w:lineRule="exact"/>
        <w:jc w:val="center"/>
        <w:rPr>
          <w:rFonts w:hint="eastAsia" w:ascii="宋体" w:hAnsi="宋体" w:eastAsia="宋体" w:cs="宋体"/>
          <w:b w:val="0"/>
          <w:color w:val="auto"/>
          <w:sz w:val="44"/>
          <w:szCs w:val="44"/>
          <w:highlight w:val="none"/>
        </w:rPr>
      </w:pPr>
    </w:p>
    <w:p w14:paraId="06BD6316">
      <w:pPr>
        <w:pStyle w:val="31"/>
        <w:spacing w:line="540" w:lineRule="exact"/>
        <w:jc w:val="center"/>
        <w:rPr>
          <w:rFonts w:hint="eastAsia" w:ascii="宋体" w:hAnsi="宋体" w:eastAsia="宋体" w:cs="宋体"/>
          <w:b w:val="0"/>
          <w:color w:val="auto"/>
          <w:sz w:val="44"/>
          <w:szCs w:val="44"/>
          <w:highlight w:val="none"/>
        </w:rPr>
      </w:pPr>
    </w:p>
    <w:p w14:paraId="7FF96BCF">
      <w:pPr>
        <w:pStyle w:val="31"/>
        <w:spacing w:line="540" w:lineRule="exact"/>
        <w:jc w:val="center"/>
        <w:rPr>
          <w:rFonts w:hint="eastAsia" w:ascii="宋体" w:hAnsi="宋体" w:eastAsia="宋体" w:cs="宋体"/>
          <w:b w:val="0"/>
          <w:color w:val="auto"/>
          <w:sz w:val="44"/>
          <w:szCs w:val="44"/>
          <w:highlight w:val="none"/>
        </w:rPr>
      </w:pPr>
    </w:p>
    <w:p w14:paraId="75E4B63B">
      <w:pPr>
        <w:pStyle w:val="31"/>
        <w:spacing w:line="540" w:lineRule="exact"/>
        <w:jc w:val="center"/>
        <w:rPr>
          <w:rFonts w:hint="eastAsia" w:ascii="宋体" w:hAnsi="宋体" w:eastAsia="宋体" w:cs="宋体"/>
          <w:b w:val="0"/>
          <w:color w:val="auto"/>
          <w:sz w:val="44"/>
          <w:szCs w:val="44"/>
          <w:highlight w:val="none"/>
        </w:rPr>
      </w:pPr>
    </w:p>
    <w:p w14:paraId="18E5DC31">
      <w:pPr>
        <w:pStyle w:val="31"/>
        <w:spacing w:line="540" w:lineRule="exact"/>
        <w:jc w:val="center"/>
        <w:rPr>
          <w:rFonts w:hint="eastAsia" w:ascii="宋体" w:hAnsi="宋体" w:eastAsia="宋体" w:cs="宋体"/>
          <w:b w:val="0"/>
          <w:color w:val="auto"/>
          <w:sz w:val="44"/>
          <w:szCs w:val="44"/>
          <w:highlight w:val="none"/>
        </w:rPr>
      </w:pPr>
    </w:p>
    <w:p w14:paraId="4C615695">
      <w:pPr>
        <w:pStyle w:val="31"/>
        <w:spacing w:line="540" w:lineRule="exact"/>
        <w:jc w:val="center"/>
        <w:rPr>
          <w:rFonts w:hint="eastAsia" w:ascii="宋体" w:hAnsi="宋体" w:eastAsia="宋体" w:cs="宋体"/>
          <w:b w:val="0"/>
          <w:color w:val="auto"/>
          <w:sz w:val="44"/>
          <w:szCs w:val="44"/>
          <w:highlight w:val="none"/>
        </w:rPr>
      </w:pPr>
    </w:p>
    <w:p w14:paraId="11415C47">
      <w:pPr>
        <w:keepNext/>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 投标文件格式</w:t>
      </w:r>
    </w:p>
    <w:p w14:paraId="09F0CA31">
      <w:pPr>
        <w:pStyle w:val="22"/>
        <w:ind w:left="0" w:leftChars="0" w:firstLine="0" w:firstLineChars="0"/>
        <w:rPr>
          <w:rFonts w:hint="eastAsia" w:ascii="宋体" w:hAnsi="宋体" w:eastAsia="宋体" w:cs="宋体"/>
          <w:b/>
          <w:bCs/>
          <w:color w:val="auto"/>
          <w:sz w:val="36"/>
          <w:szCs w:val="36"/>
          <w:highlight w:val="none"/>
        </w:rPr>
      </w:pPr>
    </w:p>
    <w:p w14:paraId="12020E8C">
      <w:pPr>
        <w:spacing w:line="360" w:lineRule="auto"/>
        <w:jc w:val="center"/>
        <w:rPr>
          <w:rFonts w:hint="default" w:ascii="宋体" w:hAnsi="宋体" w:eastAsia="宋体" w:cs="宋体"/>
          <w:b/>
          <w:color w:val="auto"/>
          <w:sz w:val="72"/>
          <w:szCs w:val="72"/>
          <w:highlight w:val="none"/>
          <w:u w:val="none"/>
          <w:lang w:val="en-US"/>
        </w:rPr>
      </w:pPr>
      <w:r>
        <w:rPr>
          <w:rFonts w:hint="eastAsia" w:ascii="宋体" w:hAnsi="宋体" w:eastAsia="宋体" w:cs="宋体"/>
          <w:b/>
          <w:bCs/>
          <w:color w:val="auto"/>
          <w:sz w:val="36"/>
          <w:szCs w:val="36"/>
          <w:highlight w:val="none"/>
          <w:u w:val="single"/>
          <w:lang w:val="en-US" w:eastAsia="zh-CN"/>
        </w:rPr>
        <w:t xml:space="preserve">                    </w:t>
      </w:r>
      <w:r>
        <w:rPr>
          <w:rFonts w:hint="eastAsia" w:ascii="宋体" w:hAnsi="宋体" w:eastAsia="宋体" w:cs="宋体"/>
          <w:b/>
          <w:bCs/>
          <w:color w:val="auto"/>
          <w:sz w:val="36"/>
          <w:szCs w:val="36"/>
          <w:highlight w:val="none"/>
          <w:lang w:val="en-US" w:eastAsia="zh-CN"/>
        </w:rPr>
        <w:t>（项目名称）</w:t>
      </w:r>
    </w:p>
    <w:p w14:paraId="1736430B">
      <w:pPr>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72"/>
          <w:szCs w:val="72"/>
          <w:highlight w:val="none"/>
        </w:rPr>
        <w:t>投</w:t>
      </w:r>
      <w:r>
        <w:rPr>
          <w:rFonts w:hint="eastAsia" w:ascii="宋体" w:hAnsi="宋体" w:eastAsia="宋体" w:cs="宋体"/>
          <w:b/>
          <w:color w:val="auto"/>
          <w:sz w:val="72"/>
          <w:szCs w:val="72"/>
          <w:highlight w:val="none"/>
        </w:rPr>
        <w:tab/>
      </w:r>
      <w:r>
        <w:rPr>
          <w:rFonts w:hint="eastAsia" w:ascii="宋体" w:hAnsi="宋体" w:eastAsia="宋体" w:cs="宋体"/>
          <w:b/>
          <w:color w:val="auto"/>
          <w:sz w:val="72"/>
          <w:szCs w:val="72"/>
          <w:highlight w:val="none"/>
        </w:rPr>
        <w:t>标</w:t>
      </w:r>
      <w:r>
        <w:rPr>
          <w:rFonts w:hint="eastAsia" w:ascii="宋体" w:hAnsi="宋体" w:eastAsia="宋体" w:cs="宋体"/>
          <w:b/>
          <w:color w:val="auto"/>
          <w:sz w:val="72"/>
          <w:szCs w:val="72"/>
          <w:highlight w:val="none"/>
        </w:rPr>
        <w:tab/>
      </w:r>
      <w:r>
        <w:rPr>
          <w:rFonts w:hint="eastAsia" w:ascii="宋体" w:hAnsi="宋体" w:eastAsia="宋体" w:cs="宋体"/>
          <w:b/>
          <w:color w:val="auto"/>
          <w:sz w:val="72"/>
          <w:szCs w:val="72"/>
          <w:highlight w:val="none"/>
        </w:rPr>
        <w:t>文</w:t>
      </w:r>
      <w:r>
        <w:rPr>
          <w:rFonts w:hint="eastAsia" w:ascii="宋体" w:hAnsi="宋体" w:eastAsia="宋体" w:cs="宋体"/>
          <w:b/>
          <w:color w:val="auto"/>
          <w:sz w:val="72"/>
          <w:szCs w:val="72"/>
          <w:highlight w:val="none"/>
        </w:rPr>
        <w:tab/>
      </w:r>
      <w:r>
        <w:rPr>
          <w:rFonts w:hint="eastAsia" w:ascii="宋体" w:hAnsi="宋体" w:eastAsia="宋体" w:cs="宋体"/>
          <w:b/>
          <w:color w:val="auto"/>
          <w:sz w:val="72"/>
          <w:szCs w:val="72"/>
          <w:highlight w:val="none"/>
        </w:rPr>
        <w:t>件</w:t>
      </w:r>
    </w:p>
    <w:p w14:paraId="01758265">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采购编号：</w:t>
      </w:r>
    </w:p>
    <w:p w14:paraId="7A6F5543">
      <w:pPr>
        <w:spacing w:line="360" w:lineRule="auto"/>
        <w:ind w:firstLine="480" w:firstLineChars="200"/>
        <w:rPr>
          <w:rFonts w:hint="eastAsia" w:ascii="宋体" w:hAnsi="宋体" w:eastAsia="宋体" w:cs="宋体"/>
          <w:color w:val="auto"/>
          <w:sz w:val="24"/>
          <w:szCs w:val="20"/>
          <w:highlight w:val="none"/>
        </w:rPr>
      </w:pPr>
    </w:p>
    <w:p w14:paraId="7CA3584D">
      <w:pPr>
        <w:spacing w:line="360" w:lineRule="auto"/>
        <w:ind w:firstLine="480" w:firstLineChars="200"/>
        <w:rPr>
          <w:rFonts w:hint="eastAsia" w:ascii="宋体" w:hAnsi="宋体" w:eastAsia="宋体" w:cs="宋体"/>
          <w:color w:val="auto"/>
          <w:sz w:val="24"/>
          <w:szCs w:val="20"/>
          <w:highlight w:val="none"/>
        </w:rPr>
      </w:pPr>
    </w:p>
    <w:p w14:paraId="70C2BE2F">
      <w:pPr>
        <w:spacing w:line="360" w:lineRule="auto"/>
        <w:ind w:firstLine="480" w:firstLineChars="200"/>
        <w:rPr>
          <w:rFonts w:hint="eastAsia" w:ascii="宋体" w:hAnsi="宋体" w:eastAsia="宋体" w:cs="宋体"/>
          <w:color w:val="auto"/>
          <w:sz w:val="24"/>
          <w:szCs w:val="20"/>
          <w:highlight w:val="none"/>
        </w:rPr>
      </w:pPr>
    </w:p>
    <w:p w14:paraId="302A5C3C">
      <w:pPr>
        <w:spacing w:line="360" w:lineRule="auto"/>
        <w:ind w:firstLine="480" w:firstLineChars="200"/>
        <w:rPr>
          <w:rFonts w:hint="eastAsia" w:ascii="宋体" w:hAnsi="宋体" w:eastAsia="宋体" w:cs="宋体"/>
          <w:color w:val="auto"/>
          <w:sz w:val="24"/>
          <w:szCs w:val="20"/>
          <w:highlight w:val="none"/>
        </w:rPr>
      </w:pPr>
    </w:p>
    <w:p w14:paraId="2AD30888">
      <w:pPr>
        <w:spacing w:line="360" w:lineRule="auto"/>
        <w:rPr>
          <w:rFonts w:hint="eastAsia" w:ascii="宋体" w:hAnsi="宋体" w:eastAsia="宋体" w:cs="宋体"/>
          <w:color w:val="auto"/>
          <w:sz w:val="24"/>
          <w:szCs w:val="20"/>
          <w:highlight w:val="none"/>
        </w:rPr>
      </w:pPr>
    </w:p>
    <w:p w14:paraId="1EF0C9AF">
      <w:pPr>
        <w:pStyle w:val="21"/>
        <w:ind w:firstLine="0" w:firstLineChars="0"/>
        <w:rPr>
          <w:rFonts w:hint="eastAsia" w:ascii="宋体" w:hAnsi="宋体" w:eastAsia="宋体" w:cs="宋体"/>
          <w:color w:val="auto"/>
          <w:sz w:val="30"/>
          <w:highlight w:val="none"/>
        </w:rPr>
      </w:pPr>
    </w:p>
    <w:p w14:paraId="44A76591">
      <w:pPr>
        <w:pStyle w:val="22"/>
        <w:ind w:firstLine="600"/>
        <w:rPr>
          <w:rFonts w:hint="eastAsia" w:ascii="宋体" w:hAnsi="宋体" w:eastAsia="宋体" w:cs="宋体"/>
          <w:color w:val="auto"/>
          <w:highlight w:val="none"/>
        </w:rPr>
      </w:pPr>
    </w:p>
    <w:p w14:paraId="1A8E32BF">
      <w:pPr>
        <w:rPr>
          <w:rFonts w:hint="eastAsia" w:ascii="宋体" w:hAnsi="宋体" w:eastAsia="宋体" w:cs="宋体"/>
          <w:color w:val="auto"/>
          <w:sz w:val="30"/>
          <w:highlight w:val="none"/>
        </w:rPr>
      </w:pPr>
    </w:p>
    <w:p w14:paraId="047C2084">
      <w:pPr>
        <w:pStyle w:val="22"/>
        <w:ind w:firstLine="600"/>
        <w:rPr>
          <w:rFonts w:hint="eastAsia" w:ascii="宋体" w:hAnsi="宋体" w:eastAsia="宋体" w:cs="宋体"/>
          <w:color w:val="auto"/>
          <w:highlight w:val="none"/>
        </w:rPr>
      </w:pPr>
    </w:p>
    <w:p w14:paraId="60BE1460">
      <w:pPr>
        <w:pStyle w:val="22"/>
        <w:ind w:firstLine="600"/>
        <w:rPr>
          <w:rFonts w:hint="eastAsia" w:ascii="宋体" w:hAnsi="宋体" w:eastAsia="宋体" w:cs="宋体"/>
          <w:color w:val="auto"/>
          <w:highlight w:val="none"/>
        </w:rPr>
      </w:pPr>
    </w:p>
    <w:p w14:paraId="30754FAA">
      <w:pPr>
        <w:pStyle w:val="22"/>
        <w:ind w:firstLine="600"/>
        <w:rPr>
          <w:rFonts w:hint="eastAsia" w:ascii="宋体" w:hAnsi="宋体" w:eastAsia="宋体" w:cs="宋体"/>
          <w:color w:val="auto"/>
          <w:highlight w:val="none"/>
        </w:rPr>
      </w:pPr>
    </w:p>
    <w:p w14:paraId="1BF16723">
      <w:pPr>
        <w:spacing w:line="360" w:lineRule="auto"/>
        <w:ind w:firstLine="750" w:firstLineChars="250"/>
        <w:rPr>
          <w:rFonts w:hint="eastAsia" w:ascii="宋体" w:hAnsi="宋体" w:eastAsia="宋体" w:cs="宋体"/>
          <w:color w:val="auto"/>
          <w:sz w:val="30"/>
          <w:szCs w:val="20"/>
          <w:highlight w:val="none"/>
        </w:rPr>
      </w:pPr>
    </w:p>
    <w:p w14:paraId="78C46A30">
      <w:pPr>
        <w:spacing w:line="360" w:lineRule="auto"/>
        <w:ind w:firstLine="750" w:firstLineChars="250"/>
        <w:rPr>
          <w:rFonts w:hint="eastAsia" w:ascii="宋体" w:hAnsi="宋体" w:eastAsia="宋体" w:cs="宋体"/>
          <w:color w:val="auto"/>
          <w:sz w:val="30"/>
          <w:szCs w:val="20"/>
          <w:highlight w:val="none"/>
        </w:rPr>
      </w:pPr>
      <w:r>
        <w:rPr>
          <w:rFonts w:hint="eastAsia" w:ascii="宋体" w:hAnsi="宋体" w:eastAsia="宋体" w:cs="宋体"/>
          <w:color w:val="auto"/>
          <w:sz w:val="30"/>
          <w:szCs w:val="20"/>
          <w:highlight w:val="none"/>
        </w:rPr>
        <w:t>投标人：</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（单位电子签章）</w:t>
      </w:r>
    </w:p>
    <w:p w14:paraId="7AB0EC73">
      <w:pPr>
        <w:spacing w:line="360" w:lineRule="auto"/>
        <w:ind w:firstLine="750" w:firstLineChars="250"/>
        <w:rPr>
          <w:rFonts w:hint="eastAsia" w:ascii="宋体" w:hAnsi="宋体" w:eastAsia="宋体" w:cs="宋体"/>
          <w:color w:val="auto"/>
          <w:sz w:val="30"/>
          <w:szCs w:val="20"/>
          <w:highlight w:val="none"/>
        </w:rPr>
      </w:pPr>
      <w:r>
        <w:rPr>
          <w:rFonts w:hint="eastAsia" w:ascii="宋体" w:hAnsi="宋体" w:eastAsia="宋体" w:cs="宋体"/>
          <w:color w:val="auto"/>
          <w:sz w:val="30"/>
          <w:szCs w:val="20"/>
          <w:highlight w:val="none"/>
        </w:rPr>
        <w:t>法定代表人：</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（法定代表人电子签名）</w:t>
      </w:r>
    </w:p>
    <w:p w14:paraId="66667D35">
      <w:pPr>
        <w:spacing w:line="360" w:lineRule="auto"/>
        <w:jc w:val="center"/>
        <w:rPr>
          <w:rFonts w:hint="eastAsia" w:ascii="宋体" w:hAnsi="宋体" w:eastAsia="宋体" w:cs="宋体"/>
          <w:color w:val="auto"/>
          <w:sz w:val="30"/>
          <w:szCs w:val="20"/>
          <w:highlight w:val="none"/>
        </w:rPr>
      </w:pPr>
      <w:r>
        <w:rPr>
          <w:rFonts w:hint="eastAsia" w:ascii="宋体" w:hAnsi="宋体" w:eastAsia="宋体" w:cs="宋体"/>
          <w:color w:val="auto"/>
          <w:sz w:val="30"/>
          <w:szCs w:val="20"/>
          <w:highlight w:val="none"/>
          <w:u w:val="single"/>
        </w:rPr>
        <w:tab/>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年</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月</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日</w:t>
      </w:r>
    </w:p>
    <w:p w14:paraId="5075B850">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r>
        <w:rPr>
          <w:rFonts w:hint="eastAsia" w:ascii="宋体" w:hAnsi="宋体" w:eastAsia="宋体" w:cs="宋体"/>
          <w:b/>
          <w:color w:val="auto"/>
          <w:sz w:val="44"/>
          <w:szCs w:val="44"/>
          <w:highlight w:val="none"/>
        </w:rPr>
        <w:t>目   录</w:t>
      </w:r>
    </w:p>
    <w:p w14:paraId="49140E7E">
      <w:pPr>
        <w:spacing w:line="480" w:lineRule="auto"/>
        <w:rPr>
          <w:rFonts w:hint="eastAsia" w:ascii="宋体" w:hAnsi="宋体" w:eastAsia="宋体" w:cs="宋体"/>
          <w:bCs/>
          <w:color w:val="auto"/>
          <w:sz w:val="24"/>
          <w:szCs w:val="24"/>
          <w:highlight w:val="none"/>
        </w:rPr>
      </w:pPr>
      <w:bookmarkStart w:id="127" w:name="_Toc367992285"/>
    </w:p>
    <w:p w14:paraId="3355D2C4">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一、投标函及开标一览表</w:t>
      </w:r>
    </w:p>
    <w:p w14:paraId="06DD538F">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二、法定代表人身份证明和法定代表人授权委托书</w:t>
      </w:r>
    </w:p>
    <w:p w14:paraId="60757FC5">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三、分项报价表</w:t>
      </w:r>
    </w:p>
    <w:p w14:paraId="4B3FC18A">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四、技术条款偏离表</w:t>
      </w:r>
    </w:p>
    <w:p w14:paraId="65669727">
      <w:pPr>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en-US" w:eastAsia="zh-CN"/>
        </w:rPr>
        <w:t>技术部分</w:t>
      </w:r>
    </w:p>
    <w:p w14:paraId="4FE44503">
      <w:pPr>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综合部分</w:t>
      </w:r>
    </w:p>
    <w:p w14:paraId="40D6F61E">
      <w:pPr>
        <w:spacing w:line="48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资格证明材料</w:t>
      </w:r>
    </w:p>
    <w:p w14:paraId="057DEAFC">
      <w:pPr>
        <w:spacing w:line="48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八、其他材料</w:t>
      </w:r>
    </w:p>
    <w:p w14:paraId="2723499E">
      <w:pPr>
        <w:spacing w:line="520" w:lineRule="exact"/>
        <w:jc w:val="center"/>
        <w:rPr>
          <w:rFonts w:hint="eastAsia" w:ascii="宋体" w:hAnsi="宋体" w:eastAsia="宋体" w:cs="宋体"/>
          <w:b/>
          <w:color w:val="auto"/>
          <w:sz w:val="32"/>
          <w:szCs w:val="32"/>
          <w:highlight w:val="none"/>
        </w:rPr>
      </w:pPr>
      <w:bookmarkStart w:id="128" w:name="_Toc414956969"/>
      <w:bookmarkStart w:id="129" w:name="_Toc398716800"/>
      <w:bookmarkStart w:id="130" w:name="_Toc417567986"/>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一、投标函</w:t>
      </w:r>
      <w:bookmarkEnd w:id="127"/>
      <w:bookmarkEnd w:id="128"/>
      <w:bookmarkEnd w:id="129"/>
      <w:bookmarkEnd w:id="130"/>
      <w:r>
        <w:rPr>
          <w:rFonts w:hint="eastAsia" w:ascii="宋体" w:hAnsi="宋体" w:eastAsia="宋体" w:cs="宋体"/>
          <w:b/>
          <w:color w:val="auto"/>
          <w:sz w:val="32"/>
          <w:szCs w:val="32"/>
          <w:highlight w:val="none"/>
        </w:rPr>
        <w:t>及开标一览表</w:t>
      </w:r>
    </w:p>
    <w:p w14:paraId="36A88A44">
      <w:pPr>
        <w:spacing w:line="520" w:lineRule="exact"/>
        <w:ind w:left="789"/>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（一）投标函</w:t>
      </w:r>
    </w:p>
    <w:p w14:paraId="04EC6073">
      <w:pPr>
        <w:widowControl/>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（采购人）        </w:t>
      </w:r>
      <w:r>
        <w:rPr>
          <w:rFonts w:hint="eastAsia" w:ascii="宋体" w:hAnsi="宋体" w:eastAsia="宋体" w:cs="宋体"/>
          <w:color w:val="auto"/>
          <w:szCs w:val="21"/>
          <w:highlight w:val="none"/>
        </w:rPr>
        <w:t>：</w:t>
      </w:r>
    </w:p>
    <w:p w14:paraId="752D9224">
      <w:pPr>
        <w:widowControl/>
        <w:spacing w:line="360" w:lineRule="auto"/>
        <w:ind w:firstLine="428" w:firstLineChars="204"/>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（投标单位全称）授权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（委托代理人姓名、职务）为本项目委托代理人，参加贵方组织的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（采购项目编号）招标的有关活动，并对相关</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进行投标。为此承诺如下：</w:t>
      </w:r>
    </w:p>
    <w:p w14:paraId="73F5EEE9">
      <w:pPr>
        <w:autoSpaceDE w:val="0"/>
        <w:autoSpaceDN w:val="0"/>
        <w:adjustRightIn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1.提供招标规定的全部投标文件</w:t>
      </w:r>
      <w:r>
        <w:rPr>
          <w:rFonts w:hint="eastAsia" w:ascii="宋体" w:hAnsi="宋体" w:eastAsia="宋体" w:cs="宋体"/>
          <w:color w:val="auto"/>
          <w:kern w:val="0"/>
          <w:szCs w:val="21"/>
          <w:highlight w:val="none"/>
        </w:rPr>
        <w:t>。</w:t>
      </w:r>
    </w:p>
    <w:p w14:paraId="0FEFCF56">
      <w:pPr>
        <w:tabs>
          <w:tab w:val="left" w:pos="13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的总报价为人民币（大写）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1DF170DF">
      <w:pPr>
        <w:tabs>
          <w:tab w:val="left" w:pos="13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我方的投标文件被接受，我们将履行招标文件中规定的每一项要求，按期、按质、按量履行合同。我方声明，我单位递交的投标文件中所提供全部资料均符合招标文件的要求，合法、真实、有效，并且在以后实施中承担由于与此不符而引起的一切责任。</w:t>
      </w:r>
    </w:p>
    <w:p w14:paraId="6B517D0B">
      <w:pPr>
        <w:tabs>
          <w:tab w:val="left" w:pos="13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4.我方愿按《</w:t>
      </w:r>
      <w:r>
        <w:rPr>
          <w:rFonts w:hint="eastAsia" w:ascii="宋体" w:hAnsi="宋体" w:eastAsia="宋体" w:cs="宋体"/>
          <w:color w:val="auto"/>
          <w:szCs w:val="21"/>
          <w:highlight w:val="none"/>
          <w:lang w:eastAsia="zh-CN"/>
        </w:rPr>
        <w:t>中华人民共和国民法典</w:t>
      </w:r>
      <w:r>
        <w:rPr>
          <w:rFonts w:hint="eastAsia" w:ascii="宋体" w:hAnsi="宋体" w:eastAsia="宋体" w:cs="宋体"/>
          <w:color w:val="auto"/>
          <w:szCs w:val="21"/>
          <w:highlight w:val="none"/>
        </w:rPr>
        <w:t>》履行我方的全部责任。</w:t>
      </w:r>
    </w:p>
    <w:p w14:paraId="4AB8889B">
      <w:pPr>
        <w:tabs>
          <w:tab w:val="left" w:pos="13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5.我方已详细审查全部招标文件，包括修改文件以及全部参考资料。我们完全理解并同意放弃对这方面有不明及误解的权力。</w:t>
      </w:r>
    </w:p>
    <w:p w14:paraId="433D2457">
      <w:pPr>
        <w:tabs>
          <w:tab w:val="left" w:pos="13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6.本项目投标有效期从投标截止之日起60日历天。</w:t>
      </w:r>
    </w:p>
    <w:p w14:paraId="19B91082">
      <w:pPr>
        <w:tabs>
          <w:tab w:val="left" w:pos="13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7.如果下列情况发生之一时，我方将放弃投标资格：</w:t>
      </w:r>
    </w:p>
    <w:p w14:paraId="133B928C">
      <w:pPr>
        <w:tabs>
          <w:tab w:val="left" w:pos="13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（1）我方在招标文件规定的投标有效期内撤回其投标。</w:t>
      </w:r>
    </w:p>
    <w:p w14:paraId="2647E14D">
      <w:pPr>
        <w:tabs>
          <w:tab w:val="left" w:pos="13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（2）我方提供虚假材料。</w:t>
      </w:r>
    </w:p>
    <w:p w14:paraId="10050945">
      <w:pPr>
        <w:tabs>
          <w:tab w:val="left" w:pos="13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（3）我方因其自身原因未按中标通知书规定的时间与采购人签订合同。</w:t>
      </w:r>
    </w:p>
    <w:p w14:paraId="4E89DED9">
      <w:pPr>
        <w:tabs>
          <w:tab w:val="left" w:pos="13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8.若我方中标，我方愿意按照招标文件参照的标准支付采购代理机构服务费等费用。</w:t>
      </w:r>
    </w:p>
    <w:p w14:paraId="4281E7FD">
      <w:pPr>
        <w:tabs>
          <w:tab w:val="left" w:pos="136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9．我方同意提供按照贵方可能要求的与其投标有关的一切数据或资料，理解贵方不一定要接受最低价的投标或收到的任何投标。</w:t>
      </w:r>
    </w:p>
    <w:p w14:paraId="774A0FAC">
      <w:pPr>
        <w:tabs>
          <w:tab w:val="left" w:pos="1365"/>
        </w:tabs>
        <w:spacing w:line="360" w:lineRule="auto"/>
        <w:ind w:firstLine="840" w:firstLineChars="400"/>
        <w:rPr>
          <w:rFonts w:hint="eastAsia" w:ascii="宋体" w:hAnsi="宋体" w:eastAsia="宋体" w:cs="宋体"/>
          <w:color w:val="auto"/>
          <w:szCs w:val="21"/>
          <w:highlight w:val="none"/>
        </w:rPr>
      </w:pPr>
    </w:p>
    <w:p w14:paraId="6A47E204">
      <w:pPr>
        <w:tabs>
          <w:tab w:val="left" w:pos="1365"/>
        </w:tabs>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                         电话：</w:t>
      </w:r>
    </w:p>
    <w:p w14:paraId="0A78BAAE">
      <w:pPr>
        <w:tabs>
          <w:tab w:val="left" w:pos="1365"/>
        </w:tabs>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                           电子邮箱：</w:t>
      </w:r>
    </w:p>
    <w:p w14:paraId="7F11C185">
      <w:pPr>
        <w:tabs>
          <w:tab w:val="left" w:pos="1365"/>
        </w:tabs>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邮政编码：</w:t>
      </w:r>
    </w:p>
    <w:p w14:paraId="60F62C58">
      <w:pPr>
        <w:tabs>
          <w:tab w:val="left" w:pos="1365"/>
        </w:tabs>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投标单位（单位电子签章）：       法定代表人（</w:t>
      </w:r>
      <w:r>
        <w:rPr>
          <w:rFonts w:hint="eastAsia" w:ascii="宋体" w:hAnsi="宋体" w:eastAsia="宋体" w:cs="宋体"/>
          <w:color w:val="auto"/>
          <w:kern w:val="0"/>
          <w:szCs w:val="21"/>
          <w:highlight w:val="none"/>
        </w:rPr>
        <w:t>法定代表人电子签名</w:t>
      </w:r>
      <w:r>
        <w:rPr>
          <w:rFonts w:hint="eastAsia" w:ascii="宋体" w:hAnsi="宋体" w:eastAsia="宋体" w:cs="宋体"/>
          <w:color w:val="auto"/>
          <w:szCs w:val="21"/>
          <w:highlight w:val="none"/>
        </w:rPr>
        <w:t>）：</w:t>
      </w:r>
    </w:p>
    <w:p w14:paraId="482C70F5">
      <w:pPr>
        <w:tabs>
          <w:tab w:val="left" w:pos="1365"/>
        </w:tabs>
        <w:spacing w:line="360" w:lineRule="auto"/>
        <w:ind w:left="1029" w:leftChars="490"/>
        <w:rPr>
          <w:rFonts w:hint="eastAsia" w:ascii="宋体" w:hAnsi="宋体" w:eastAsia="宋体" w:cs="宋体"/>
          <w:color w:val="auto"/>
          <w:szCs w:val="21"/>
          <w:highlight w:val="none"/>
        </w:rPr>
      </w:pPr>
    </w:p>
    <w:p w14:paraId="49561298">
      <w:pPr>
        <w:spacing w:line="480" w:lineRule="exact"/>
        <w:jc w:val="right"/>
        <w:rPr>
          <w:rFonts w:hint="eastAsia" w:ascii="宋体" w:hAnsi="宋体" w:eastAsia="宋体" w:cs="宋体"/>
          <w:b/>
          <w:color w:val="auto"/>
          <w:sz w:val="30"/>
          <w:szCs w:val="21"/>
          <w:highlight w:val="none"/>
        </w:rPr>
      </w:pPr>
      <w:r>
        <w:rPr>
          <w:rFonts w:hint="eastAsia" w:ascii="宋体" w:hAnsi="宋体" w:eastAsia="宋体" w:cs="宋体"/>
          <w:color w:val="auto"/>
          <w:szCs w:val="21"/>
          <w:highlight w:val="none"/>
        </w:rPr>
        <w:t>日期：   年   月     日</w:t>
      </w:r>
    </w:p>
    <w:p w14:paraId="652A3BB2">
      <w:pPr>
        <w:spacing w:line="360" w:lineRule="auto"/>
        <w:rPr>
          <w:rFonts w:hint="eastAsia" w:ascii="宋体" w:hAnsi="宋体" w:eastAsia="宋体" w:cs="宋体"/>
          <w:b/>
          <w:color w:val="auto"/>
          <w:sz w:val="30"/>
          <w:szCs w:val="21"/>
          <w:highlight w:val="none"/>
        </w:rPr>
      </w:pPr>
    </w:p>
    <w:p w14:paraId="5088D661">
      <w:pPr>
        <w:spacing w:line="360" w:lineRule="auto"/>
        <w:jc w:val="center"/>
        <w:rPr>
          <w:rFonts w:hint="eastAsia" w:ascii="宋体" w:hAnsi="宋体" w:eastAsia="宋体" w:cs="宋体"/>
          <w:b/>
          <w:color w:val="auto"/>
          <w:sz w:val="30"/>
          <w:szCs w:val="21"/>
          <w:highlight w:val="none"/>
        </w:rPr>
      </w:pPr>
      <w:r>
        <w:rPr>
          <w:rFonts w:hint="eastAsia" w:ascii="宋体" w:hAnsi="宋体" w:eastAsia="宋体" w:cs="宋体"/>
          <w:b/>
          <w:color w:val="auto"/>
          <w:sz w:val="30"/>
          <w:szCs w:val="21"/>
          <w:highlight w:val="none"/>
        </w:rPr>
        <w:br w:type="page"/>
      </w:r>
      <w:r>
        <w:rPr>
          <w:rFonts w:hint="eastAsia" w:ascii="宋体" w:hAnsi="宋体" w:eastAsia="宋体" w:cs="宋体"/>
          <w:b/>
          <w:color w:val="auto"/>
          <w:sz w:val="30"/>
          <w:szCs w:val="21"/>
          <w:highlight w:val="none"/>
        </w:rPr>
        <w:t>（二）开标一览表</w:t>
      </w:r>
    </w:p>
    <w:tbl>
      <w:tblPr>
        <w:tblStyle w:val="23"/>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1"/>
        <w:gridCol w:w="7418"/>
      </w:tblGrid>
      <w:tr w14:paraId="4FF8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361" w:type="dxa"/>
            <w:noWrap w:val="0"/>
            <w:vAlign w:val="center"/>
          </w:tcPr>
          <w:p w14:paraId="54600359">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项目名称</w:t>
            </w:r>
          </w:p>
        </w:tc>
        <w:tc>
          <w:tcPr>
            <w:tcW w:w="7418" w:type="dxa"/>
            <w:noWrap w:val="0"/>
            <w:vAlign w:val="center"/>
          </w:tcPr>
          <w:p w14:paraId="4B114476">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highlight w:val="none"/>
                <w:u w:val="single"/>
              </w:rPr>
            </w:pPr>
          </w:p>
        </w:tc>
      </w:tr>
      <w:tr w14:paraId="5B81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361" w:type="dxa"/>
            <w:noWrap w:val="0"/>
            <w:vAlign w:val="center"/>
          </w:tcPr>
          <w:p w14:paraId="1475DAE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p>
        </w:tc>
        <w:tc>
          <w:tcPr>
            <w:tcW w:w="7418" w:type="dxa"/>
            <w:noWrap w:val="0"/>
            <w:vAlign w:val="center"/>
          </w:tcPr>
          <w:p w14:paraId="64F031CE">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Cs w:val="21"/>
                <w:highlight w:val="none"/>
              </w:rPr>
            </w:pPr>
          </w:p>
        </w:tc>
      </w:tr>
      <w:tr w14:paraId="60D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361" w:type="dxa"/>
            <w:noWrap w:val="0"/>
            <w:vAlign w:val="center"/>
          </w:tcPr>
          <w:p w14:paraId="1E148D22">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7418" w:type="dxa"/>
            <w:noWrap w:val="0"/>
            <w:vAlign w:val="center"/>
          </w:tcPr>
          <w:p w14:paraId="69349776">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Cs w:val="21"/>
                <w:highlight w:val="none"/>
              </w:rPr>
            </w:pPr>
          </w:p>
        </w:tc>
      </w:tr>
      <w:tr w14:paraId="1B21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361" w:type="dxa"/>
            <w:noWrap w:val="0"/>
            <w:vAlign w:val="center"/>
          </w:tcPr>
          <w:p w14:paraId="22699484">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投标报价（元）</w:t>
            </w:r>
          </w:p>
        </w:tc>
        <w:tc>
          <w:tcPr>
            <w:tcW w:w="7418" w:type="dxa"/>
            <w:noWrap w:val="0"/>
            <w:vAlign w:val="center"/>
          </w:tcPr>
          <w:p w14:paraId="57E6AB5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大写：         元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小写：</w:t>
            </w:r>
            <w:r>
              <w:rPr>
                <w:rFonts w:hint="default" w:ascii="宋体" w:hAnsi="宋体" w:cs="宋体"/>
                <w:color w:val="auto"/>
                <w:szCs w:val="21"/>
                <w:highlight w:val="none"/>
                <w:lang w:val="en-US"/>
              </w:rPr>
              <w:t xml:space="preserve">      </w:t>
            </w:r>
            <w:r>
              <w:rPr>
                <w:rFonts w:hint="eastAsia" w:ascii="宋体" w:hAnsi="宋体" w:cs="宋体"/>
                <w:color w:val="auto"/>
                <w:szCs w:val="21"/>
                <w:highlight w:val="none"/>
                <w:lang w:val="en-US" w:eastAsia="zh-CN"/>
              </w:rPr>
              <w:t>元</w:t>
            </w:r>
          </w:p>
        </w:tc>
      </w:tr>
      <w:tr w14:paraId="1ED7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361" w:type="dxa"/>
            <w:noWrap w:val="0"/>
            <w:vAlign w:val="center"/>
          </w:tcPr>
          <w:p w14:paraId="1F5BB372">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投标质量</w:t>
            </w:r>
          </w:p>
        </w:tc>
        <w:tc>
          <w:tcPr>
            <w:tcW w:w="7418" w:type="dxa"/>
            <w:noWrap w:val="0"/>
            <w:vAlign w:val="center"/>
          </w:tcPr>
          <w:p w14:paraId="4ADD3F7D">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Cs w:val="21"/>
                <w:highlight w:val="none"/>
              </w:rPr>
            </w:pPr>
          </w:p>
        </w:tc>
      </w:tr>
      <w:tr w14:paraId="5202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361" w:type="dxa"/>
            <w:noWrap w:val="0"/>
            <w:vAlign w:val="center"/>
          </w:tcPr>
          <w:p w14:paraId="72B2356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运维</w:t>
            </w:r>
            <w:r>
              <w:rPr>
                <w:rFonts w:hint="eastAsia" w:ascii="宋体" w:hAnsi="宋体" w:eastAsia="宋体" w:cs="宋体"/>
                <w:color w:val="auto"/>
                <w:highlight w:val="none"/>
                <w:lang w:val="en-US" w:eastAsia="zh-CN"/>
              </w:rPr>
              <w:t>期限</w:t>
            </w:r>
          </w:p>
        </w:tc>
        <w:tc>
          <w:tcPr>
            <w:tcW w:w="7418" w:type="dxa"/>
            <w:noWrap w:val="0"/>
            <w:vAlign w:val="center"/>
          </w:tcPr>
          <w:p w14:paraId="00F7860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Cs w:val="21"/>
                <w:highlight w:val="none"/>
              </w:rPr>
            </w:pPr>
          </w:p>
        </w:tc>
      </w:tr>
      <w:tr w14:paraId="5A53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361" w:type="dxa"/>
            <w:noWrap w:val="0"/>
            <w:vAlign w:val="center"/>
          </w:tcPr>
          <w:p w14:paraId="46ABCF46">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投标有效期</w:t>
            </w:r>
          </w:p>
        </w:tc>
        <w:tc>
          <w:tcPr>
            <w:tcW w:w="7418" w:type="dxa"/>
            <w:noWrap w:val="0"/>
            <w:vAlign w:val="center"/>
          </w:tcPr>
          <w:p w14:paraId="739A6851">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szCs w:val="21"/>
                <w:highlight w:val="none"/>
              </w:rPr>
            </w:pPr>
          </w:p>
        </w:tc>
      </w:tr>
      <w:tr w14:paraId="5F49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361" w:type="dxa"/>
            <w:noWrap w:val="0"/>
            <w:vAlign w:val="center"/>
          </w:tcPr>
          <w:p w14:paraId="04372B44">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418" w:type="dxa"/>
            <w:noWrap w:val="0"/>
            <w:vAlign w:val="center"/>
          </w:tcPr>
          <w:p w14:paraId="18A48EE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Cs w:val="21"/>
                <w:highlight w:val="none"/>
              </w:rPr>
            </w:pPr>
          </w:p>
        </w:tc>
      </w:tr>
    </w:tbl>
    <w:p w14:paraId="4342ABF1">
      <w:pPr>
        <w:adjustRightInd w:val="0"/>
        <w:snapToGrid w:val="0"/>
        <w:spacing w:line="360" w:lineRule="auto"/>
        <w:ind w:firstLine="13"/>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w:t>
      </w:r>
    </w:p>
    <w:p w14:paraId="2D0142C8">
      <w:pPr>
        <w:autoSpaceDE w:val="0"/>
        <w:autoSpaceDN w:val="0"/>
        <w:adjustRightInd w:val="0"/>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Cs w:val="21"/>
          <w:highlight w:val="none"/>
        </w:rPr>
        <w:t xml:space="preserve"> </w:t>
      </w:r>
    </w:p>
    <w:p w14:paraId="4E002109">
      <w:pPr>
        <w:adjustRightInd w:val="0"/>
        <w:snapToGrid w:val="0"/>
        <w:spacing w:line="360" w:lineRule="auto"/>
        <w:ind w:firstLine="3780" w:firstLineChars="18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投标人（单位电子签章）： </w:t>
      </w:r>
    </w:p>
    <w:p w14:paraId="07132C9F">
      <w:pPr>
        <w:adjustRightInd w:val="0"/>
        <w:snapToGrid w:val="0"/>
        <w:spacing w:line="360" w:lineRule="auto"/>
        <w:ind w:firstLine="3780" w:firstLineChars="1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kern w:val="0"/>
          <w:szCs w:val="21"/>
          <w:highlight w:val="none"/>
        </w:rPr>
        <w:t>法定代表人电子签名</w:t>
      </w:r>
      <w:r>
        <w:rPr>
          <w:rFonts w:hint="eastAsia" w:ascii="宋体" w:hAnsi="宋体" w:eastAsia="宋体" w:cs="宋体"/>
          <w:color w:val="auto"/>
          <w:szCs w:val="21"/>
          <w:highlight w:val="none"/>
        </w:rPr>
        <w:t>）：</w:t>
      </w:r>
    </w:p>
    <w:p w14:paraId="41FF7018">
      <w:pPr>
        <w:adjustRightInd w:val="0"/>
        <w:snapToGrid w:val="0"/>
        <w:spacing w:line="360" w:lineRule="auto"/>
        <w:ind w:firstLine="5460" w:firstLineChars="26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年    月   日</w:t>
      </w:r>
    </w:p>
    <w:p w14:paraId="2576D331">
      <w:pPr>
        <w:pStyle w:val="21"/>
        <w:ind w:firstLine="210"/>
        <w:rPr>
          <w:rFonts w:hint="eastAsia" w:ascii="宋体" w:hAnsi="宋体" w:eastAsia="宋体" w:cs="宋体"/>
          <w:snapToGrid w:val="0"/>
          <w:color w:val="auto"/>
          <w:kern w:val="0"/>
          <w:szCs w:val="21"/>
          <w:highlight w:val="none"/>
        </w:rPr>
      </w:pPr>
    </w:p>
    <w:p w14:paraId="7B0E3BDA">
      <w:pPr>
        <w:autoSpaceDE w:val="0"/>
        <w:autoSpaceDN w:val="0"/>
        <w:adjustRightInd w:val="0"/>
        <w:spacing w:line="500" w:lineRule="exact"/>
        <w:ind w:left="69"/>
        <w:jc w:val="center"/>
        <w:rPr>
          <w:rFonts w:hint="eastAsia" w:ascii="宋体" w:hAnsi="宋体" w:eastAsia="宋体" w:cs="宋体"/>
          <w:b/>
          <w:color w:val="auto"/>
          <w:kern w:val="0"/>
          <w:sz w:val="32"/>
          <w:szCs w:val="32"/>
          <w:highlight w:val="none"/>
        </w:rPr>
      </w:pPr>
      <w:bookmarkStart w:id="131" w:name="_Toc417567987"/>
      <w:bookmarkStart w:id="132" w:name="_Toc414956970"/>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32"/>
          <w:szCs w:val="32"/>
          <w:highlight w:val="none"/>
        </w:rPr>
        <w:t>二、法定代表人身份证明和法定代表人授权委托书</w:t>
      </w:r>
    </w:p>
    <w:p w14:paraId="7950EB92">
      <w:pPr>
        <w:autoSpaceDE w:val="0"/>
        <w:autoSpaceDN w:val="0"/>
        <w:adjustRightInd w:val="0"/>
        <w:spacing w:line="500" w:lineRule="exact"/>
        <w:ind w:left="69"/>
        <w:jc w:val="center"/>
        <w:rPr>
          <w:rFonts w:hint="eastAsia" w:ascii="宋体" w:hAnsi="宋体" w:eastAsia="宋体" w:cs="宋体"/>
          <w:b/>
          <w:color w:val="auto"/>
          <w:kern w:val="0"/>
          <w:sz w:val="32"/>
          <w:szCs w:val="32"/>
          <w:highlight w:val="none"/>
        </w:rPr>
      </w:pPr>
    </w:p>
    <w:p w14:paraId="0D590C58">
      <w:pPr>
        <w:autoSpaceDE w:val="0"/>
        <w:autoSpaceDN w:val="0"/>
        <w:adjustRightInd w:val="0"/>
        <w:spacing w:line="500" w:lineRule="exact"/>
        <w:ind w:left="69"/>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（一）法定代表人身份证明</w:t>
      </w:r>
    </w:p>
    <w:bookmarkEnd w:id="131"/>
    <w:bookmarkEnd w:id="132"/>
    <w:p w14:paraId="13748A55">
      <w:pPr>
        <w:autoSpaceDE w:val="0"/>
        <w:autoSpaceDN w:val="0"/>
        <w:adjustRightInd w:val="0"/>
        <w:spacing w:line="500" w:lineRule="exact"/>
        <w:rPr>
          <w:rFonts w:hint="eastAsia" w:ascii="宋体" w:hAnsi="宋体" w:eastAsia="宋体" w:cs="宋体"/>
          <w:color w:val="auto"/>
          <w:kern w:val="0"/>
          <w:szCs w:val="21"/>
          <w:highlight w:val="none"/>
        </w:rPr>
      </w:pPr>
    </w:p>
    <w:p w14:paraId="3DD5EA2C">
      <w:pPr>
        <w:autoSpaceDE w:val="0"/>
        <w:autoSpaceDN w:val="0"/>
        <w:adjustRightInd w:val="0"/>
        <w:spacing w:line="500" w:lineRule="exact"/>
        <w:ind w:firstLine="718" w:firstLineChars="34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 w:val="23"/>
          <w:szCs w:val="23"/>
          <w:highlight w:val="none"/>
          <w:u w:val="single"/>
        </w:rPr>
        <w:t xml:space="preserve">                             </w:t>
      </w:r>
    </w:p>
    <w:p w14:paraId="177320F0">
      <w:pPr>
        <w:autoSpaceDE w:val="0"/>
        <w:autoSpaceDN w:val="0"/>
        <w:adjustRightInd w:val="0"/>
        <w:spacing w:line="500" w:lineRule="exact"/>
        <w:ind w:firstLine="718" w:firstLineChars="34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单位性质：</w:t>
      </w:r>
      <w:r>
        <w:rPr>
          <w:rFonts w:hint="eastAsia" w:ascii="宋体" w:hAnsi="宋体" w:eastAsia="宋体" w:cs="宋体"/>
          <w:color w:val="auto"/>
          <w:kern w:val="0"/>
          <w:sz w:val="23"/>
          <w:szCs w:val="23"/>
          <w:highlight w:val="none"/>
          <w:u w:val="single"/>
        </w:rPr>
        <w:t xml:space="preserve">                               </w:t>
      </w:r>
    </w:p>
    <w:p w14:paraId="28CF4345">
      <w:pPr>
        <w:autoSpaceDE w:val="0"/>
        <w:autoSpaceDN w:val="0"/>
        <w:adjustRightInd w:val="0"/>
        <w:spacing w:line="500" w:lineRule="exact"/>
        <w:ind w:firstLine="718" w:firstLineChars="34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 xml:space="preserve"> 月</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 xml:space="preserve">日 </w:t>
      </w:r>
    </w:p>
    <w:p w14:paraId="6A603BC9">
      <w:pPr>
        <w:autoSpaceDE w:val="0"/>
        <w:autoSpaceDN w:val="0"/>
        <w:adjustRightInd w:val="0"/>
        <w:spacing w:line="500" w:lineRule="exact"/>
        <w:ind w:firstLine="718" w:firstLineChars="34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经营期限：</w:t>
      </w:r>
      <w:r>
        <w:rPr>
          <w:rFonts w:hint="eastAsia" w:ascii="宋体" w:hAnsi="宋体" w:eastAsia="宋体" w:cs="宋体"/>
          <w:color w:val="auto"/>
          <w:kern w:val="0"/>
          <w:sz w:val="23"/>
          <w:szCs w:val="23"/>
          <w:highlight w:val="none"/>
          <w:u w:val="single"/>
        </w:rPr>
        <w:t xml:space="preserve">                       </w:t>
      </w:r>
    </w:p>
    <w:p w14:paraId="71ED415D">
      <w:pPr>
        <w:autoSpaceDE w:val="0"/>
        <w:autoSpaceDN w:val="0"/>
        <w:adjustRightInd w:val="0"/>
        <w:spacing w:line="500" w:lineRule="exact"/>
        <w:ind w:firstLine="718" w:firstLineChars="34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 xml:space="preserve"> 职务：</w:t>
      </w:r>
      <w:r>
        <w:rPr>
          <w:rFonts w:hint="eastAsia" w:ascii="宋体" w:hAnsi="宋体" w:eastAsia="宋体" w:cs="宋体"/>
          <w:color w:val="auto"/>
          <w:kern w:val="0"/>
          <w:sz w:val="23"/>
          <w:szCs w:val="23"/>
          <w:highlight w:val="none"/>
          <w:u w:val="single"/>
        </w:rPr>
        <w:t xml:space="preserve">         </w:t>
      </w:r>
    </w:p>
    <w:p w14:paraId="34AB40B9">
      <w:pPr>
        <w:autoSpaceDE w:val="0"/>
        <w:autoSpaceDN w:val="0"/>
        <w:adjustRightInd w:val="0"/>
        <w:spacing w:line="500" w:lineRule="exact"/>
        <w:ind w:firstLine="718" w:firstLineChars="34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 xml:space="preserve">（投标人名称）的法定代表人。 </w:t>
      </w:r>
    </w:p>
    <w:p w14:paraId="4F2EF552">
      <w:pPr>
        <w:autoSpaceDE w:val="0"/>
        <w:autoSpaceDN w:val="0"/>
        <w:adjustRightInd w:val="0"/>
        <w:spacing w:line="500" w:lineRule="exact"/>
        <w:ind w:firstLine="735" w:firstLineChars="3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特此证明。 </w:t>
      </w:r>
    </w:p>
    <w:p w14:paraId="36FDAD2A">
      <w:pPr>
        <w:autoSpaceDE w:val="0"/>
        <w:autoSpaceDN w:val="0"/>
        <w:adjustRightInd w:val="0"/>
        <w:spacing w:line="500" w:lineRule="exact"/>
        <w:ind w:firstLine="420"/>
        <w:rPr>
          <w:rFonts w:hint="eastAsia" w:ascii="宋体" w:hAnsi="宋体" w:eastAsia="宋体" w:cs="宋体"/>
          <w:color w:val="auto"/>
          <w:kern w:val="0"/>
          <w:szCs w:val="21"/>
          <w:highlight w:val="none"/>
        </w:rPr>
      </w:pPr>
    </w:p>
    <w:p w14:paraId="49DA12A0">
      <w:pPr>
        <w:autoSpaceDE w:val="0"/>
        <w:autoSpaceDN w:val="0"/>
        <w:adjustRightInd w:val="0"/>
        <w:spacing w:line="500" w:lineRule="exact"/>
        <w:ind w:firstLine="420"/>
        <w:rPr>
          <w:rFonts w:hint="eastAsia" w:ascii="宋体" w:hAnsi="宋体" w:eastAsia="宋体" w:cs="宋体"/>
          <w:color w:val="auto"/>
          <w:kern w:val="0"/>
          <w:szCs w:val="21"/>
          <w:highlight w:val="none"/>
        </w:rPr>
      </w:pPr>
    </w:p>
    <w:p w14:paraId="72B0220A">
      <w:pPr>
        <w:autoSpaceDE w:val="0"/>
        <w:autoSpaceDN w:val="0"/>
        <w:adjustRightInd w:val="0"/>
        <w:spacing w:line="500" w:lineRule="exact"/>
        <w:ind w:firstLine="4830" w:firstLineChars="23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snapToGrid w:val="0"/>
          <w:color w:val="auto"/>
          <w:kern w:val="0"/>
          <w:szCs w:val="21"/>
          <w:highlight w:val="none"/>
        </w:rPr>
        <w:t>单位电子签章</w:t>
      </w:r>
      <w:r>
        <w:rPr>
          <w:rFonts w:hint="eastAsia" w:ascii="宋体" w:hAnsi="宋体" w:eastAsia="宋体" w:cs="宋体"/>
          <w:color w:val="auto"/>
          <w:kern w:val="0"/>
          <w:szCs w:val="21"/>
          <w:highlight w:val="none"/>
        </w:rPr>
        <w:t xml:space="preserve">） </w:t>
      </w:r>
    </w:p>
    <w:p w14:paraId="49D9E0CC">
      <w:pPr>
        <w:autoSpaceDE w:val="0"/>
        <w:autoSpaceDN w:val="0"/>
        <w:adjustRightInd w:val="0"/>
        <w:spacing w:line="500" w:lineRule="exact"/>
        <w:ind w:firstLine="4788" w:firstLineChars="2082"/>
        <w:rPr>
          <w:rFonts w:hint="eastAsia" w:ascii="宋体" w:hAnsi="宋体" w:eastAsia="宋体" w:cs="宋体"/>
          <w:color w:val="auto"/>
          <w:kern w:val="0"/>
          <w:szCs w:val="21"/>
          <w:highlight w:val="none"/>
        </w:rPr>
      </w:pP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 xml:space="preserve"> 月</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 xml:space="preserve">日 </w:t>
      </w:r>
    </w:p>
    <w:p w14:paraId="40015813">
      <w:pPr>
        <w:autoSpaceDE w:val="0"/>
        <w:autoSpaceDN w:val="0"/>
        <w:adjustRightInd w:val="0"/>
        <w:spacing w:line="500" w:lineRule="exact"/>
        <w:ind w:firstLine="420"/>
        <w:rPr>
          <w:rFonts w:hint="eastAsia" w:ascii="宋体" w:hAnsi="宋体" w:eastAsia="宋体" w:cs="宋体"/>
          <w:color w:val="auto"/>
          <w:kern w:val="0"/>
          <w:szCs w:val="21"/>
          <w:highlight w:val="none"/>
        </w:rPr>
      </w:pPr>
    </w:p>
    <w:p w14:paraId="5A0DB42A">
      <w:pPr>
        <w:autoSpaceDE w:val="0"/>
        <w:autoSpaceDN w:val="0"/>
        <w:adjustRightInd w:val="0"/>
        <w:spacing w:line="500" w:lineRule="exact"/>
        <w:ind w:firstLine="420"/>
        <w:rPr>
          <w:rFonts w:hint="eastAsia" w:ascii="宋体" w:hAnsi="宋体" w:eastAsia="宋体" w:cs="宋体"/>
          <w:color w:val="auto"/>
          <w:kern w:val="0"/>
          <w:szCs w:val="21"/>
          <w:highlight w:val="none"/>
        </w:rPr>
        <w:sectPr>
          <w:headerReference r:id="rId11" w:type="default"/>
          <w:footerReference r:id="rId12" w:type="default"/>
          <w:pgSz w:w="11907" w:h="16840"/>
          <w:pgMar w:top="1247" w:right="1134" w:bottom="1134" w:left="1247" w:header="964" w:footer="850" w:gutter="0"/>
          <w:pgNumType w:fmt="numberInDash"/>
          <w:cols w:space="720" w:num="1"/>
        </w:sectPr>
      </w:pPr>
      <w:r>
        <w:rPr>
          <w:rFonts w:hint="eastAsia" w:ascii="宋体" w:hAnsi="宋体" w:eastAsia="宋体" w:cs="宋体"/>
          <w:color w:val="auto"/>
          <w:kern w:val="0"/>
          <w:szCs w:val="21"/>
          <w:highlight w:val="none"/>
        </w:rPr>
        <w:t>附法定代表人</w:t>
      </w:r>
      <w:r>
        <w:rPr>
          <w:rFonts w:hint="eastAsia" w:ascii="宋体" w:hAnsi="宋体" w:eastAsia="宋体" w:cs="宋体"/>
          <w:color w:val="auto"/>
          <w:szCs w:val="21"/>
          <w:highlight w:val="none"/>
        </w:rPr>
        <w:t>身份证正反面扫描件</w:t>
      </w:r>
    </w:p>
    <w:p w14:paraId="590B41C1">
      <w:pPr>
        <w:spacing w:line="360" w:lineRule="auto"/>
        <w:jc w:val="center"/>
        <w:rPr>
          <w:rFonts w:hint="eastAsia" w:ascii="宋体" w:hAnsi="宋体" w:eastAsia="宋体" w:cs="宋体"/>
          <w:b/>
          <w:color w:val="auto"/>
          <w:sz w:val="32"/>
          <w:szCs w:val="32"/>
          <w:highlight w:val="none"/>
        </w:rPr>
      </w:pPr>
      <w:bookmarkStart w:id="133" w:name="_Toc417567988"/>
      <w:bookmarkStart w:id="134" w:name="_Toc414956971"/>
      <w:r>
        <w:rPr>
          <w:rFonts w:hint="eastAsia" w:ascii="宋体" w:hAnsi="宋体" w:eastAsia="宋体" w:cs="宋体"/>
          <w:b/>
          <w:color w:val="auto"/>
          <w:sz w:val="32"/>
          <w:szCs w:val="32"/>
          <w:highlight w:val="none"/>
        </w:rPr>
        <w:t>（二）法定代表人授权委托书</w:t>
      </w:r>
      <w:bookmarkEnd w:id="133"/>
      <w:bookmarkEnd w:id="134"/>
    </w:p>
    <w:p w14:paraId="202EAEBA">
      <w:pPr>
        <w:spacing w:line="360" w:lineRule="auto"/>
        <w:rPr>
          <w:rFonts w:hint="eastAsia" w:ascii="宋体" w:hAnsi="宋体" w:eastAsia="宋体" w:cs="宋体"/>
          <w:color w:val="auto"/>
          <w:sz w:val="30"/>
          <w:szCs w:val="20"/>
          <w:highlight w:val="none"/>
        </w:rPr>
      </w:pPr>
    </w:p>
    <w:p w14:paraId="7E824DAA">
      <w:pPr>
        <w:spacing w:line="360" w:lineRule="auto"/>
        <w:ind w:right="31" w:rightChars="15"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本授权委托书声明：我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（投标人全称）的法定代表人，现委托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（姓名）为本单位的合法代理人，以本单位的名义参加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(项目名称）的投标，委托代理人签署的一切文件和处理与之有关的一切事务，我均予以承认。</w:t>
      </w:r>
    </w:p>
    <w:p w14:paraId="36178044">
      <w:pPr>
        <w:pStyle w:val="21"/>
        <w:ind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委托期限：</w:t>
      </w:r>
      <w:r>
        <w:rPr>
          <w:rFonts w:hint="eastAsia" w:ascii="宋体" w:hAnsi="宋体" w:eastAsia="宋体" w:cs="宋体"/>
          <w:b/>
          <w:bCs/>
          <w:color w:val="auto"/>
          <w:szCs w:val="21"/>
          <w:highlight w:val="none"/>
          <w:u w:val="single"/>
        </w:rPr>
        <w:t>本授权书至投标有效期结束前始终有效</w:t>
      </w:r>
      <w:r>
        <w:rPr>
          <w:rFonts w:hint="eastAsia" w:ascii="宋体" w:hAnsi="宋体" w:eastAsia="宋体" w:cs="宋体"/>
          <w:b/>
          <w:bCs/>
          <w:color w:val="auto"/>
          <w:szCs w:val="21"/>
          <w:highlight w:val="none"/>
          <w:u w:val="none"/>
        </w:rPr>
        <w:t>。</w:t>
      </w:r>
    </w:p>
    <w:p w14:paraId="613D2956">
      <w:pPr>
        <w:spacing w:line="360" w:lineRule="auto"/>
        <w:ind w:firstLine="43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委托代理人无转委托权</w:t>
      </w:r>
      <w:r>
        <w:rPr>
          <w:rFonts w:hint="eastAsia" w:ascii="宋体" w:hAnsi="宋体" w:cs="宋体"/>
          <w:color w:val="auto"/>
          <w:szCs w:val="21"/>
          <w:highlight w:val="none"/>
          <w:lang w:eastAsia="zh-CN"/>
        </w:rPr>
        <w:t>。</w:t>
      </w:r>
    </w:p>
    <w:p w14:paraId="09E6A02B">
      <w:pPr>
        <w:spacing w:line="360" w:lineRule="auto"/>
        <w:rPr>
          <w:rFonts w:hint="eastAsia" w:ascii="宋体" w:hAnsi="宋体" w:eastAsia="宋体" w:cs="宋体"/>
          <w:color w:val="auto"/>
          <w:szCs w:val="21"/>
          <w:highlight w:val="none"/>
        </w:rPr>
      </w:pPr>
    </w:p>
    <w:p w14:paraId="56CE5AA3">
      <w:pPr>
        <w:spacing w:line="520" w:lineRule="exact"/>
        <w:rPr>
          <w:rFonts w:hint="eastAsia" w:ascii="宋体" w:hAnsi="宋体" w:eastAsia="宋体" w:cs="宋体"/>
          <w:color w:val="auto"/>
          <w:szCs w:val="21"/>
          <w:highlight w:val="none"/>
        </w:rPr>
      </w:pPr>
    </w:p>
    <w:p w14:paraId="7003B29E">
      <w:pPr>
        <w:autoSpaceDE w:val="0"/>
        <w:autoSpaceDN w:val="0"/>
        <w:adjustRightInd w:val="0"/>
        <w:spacing w:line="500" w:lineRule="exact"/>
        <w:ind w:firstLine="3780" w:firstLineChars="18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snapToGrid w:val="0"/>
          <w:color w:val="auto"/>
          <w:kern w:val="0"/>
          <w:szCs w:val="21"/>
          <w:highlight w:val="none"/>
        </w:rPr>
        <w:t>单位电子签章</w:t>
      </w:r>
      <w:r>
        <w:rPr>
          <w:rFonts w:hint="eastAsia" w:ascii="宋体" w:hAnsi="宋体" w:eastAsia="宋体" w:cs="宋体"/>
          <w:color w:val="auto"/>
          <w:kern w:val="0"/>
          <w:szCs w:val="21"/>
          <w:highlight w:val="none"/>
        </w:rPr>
        <w:t xml:space="preserve">） </w:t>
      </w:r>
    </w:p>
    <w:p w14:paraId="2C6E0F70">
      <w:pPr>
        <w:autoSpaceDE w:val="0"/>
        <w:autoSpaceDN w:val="0"/>
        <w:adjustRightInd w:val="0"/>
        <w:spacing w:line="500" w:lineRule="exact"/>
        <w:ind w:firstLine="3780" w:firstLineChars="18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 xml:space="preserve">（法定代表人电子签名） </w:t>
      </w:r>
    </w:p>
    <w:p w14:paraId="081CE5BF">
      <w:pPr>
        <w:autoSpaceDE w:val="0"/>
        <w:autoSpaceDN w:val="0"/>
        <w:adjustRightInd w:val="0"/>
        <w:spacing w:line="500" w:lineRule="exact"/>
        <w:ind w:firstLine="3780" w:firstLineChars="18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kern w:val="0"/>
          <w:sz w:val="23"/>
          <w:szCs w:val="23"/>
          <w:highlight w:val="none"/>
          <w:u w:val="single"/>
        </w:rPr>
        <w:t xml:space="preserve">                          </w:t>
      </w:r>
    </w:p>
    <w:p w14:paraId="6763E227">
      <w:pPr>
        <w:autoSpaceDE w:val="0"/>
        <w:autoSpaceDN w:val="0"/>
        <w:adjustRightInd w:val="0"/>
        <w:spacing w:line="500" w:lineRule="exact"/>
        <w:ind w:firstLine="3780" w:firstLineChars="18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 xml:space="preserve">（签字或电子签名） </w:t>
      </w:r>
    </w:p>
    <w:p w14:paraId="18712194">
      <w:pPr>
        <w:autoSpaceDE w:val="0"/>
        <w:autoSpaceDN w:val="0"/>
        <w:adjustRightInd w:val="0"/>
        <w:spacing w:line="500" w:lineRule="exact"/>
        <w:ind w:firstLine="3780" w:firstLineChars="18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身份证号码：</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 xml:space="preserve"> </w:t>
      </w:r>
    </w:p>
    <w:p w14:paraId="7AE3C72F">
      <w:pPr>
        <w:autoSpaceDE w:val="0"/>
        <w:autoSpaceDN w:val="0"/>
        <w:adjustRightInd w:val="0"/>
        <w:spacing w:line="500" w:lineRule="exact"/>
        <w:ind w:firstLine="4600" w:firstLineChars="2000"/>
        <w:rPr>
          <w:rFonts w:hint="eastAsia" w:ascii="宋体" w:hAnsi="宋体" w:eastAsia="宋体" w:cs="宋体"/>
          <w:color w:val="auto"/>
          <w:kern w:val="0"/>
          <w:szCs w:val="21"/>
          <w:highlight w:val="none"/>
        </w:rPr>
      </w:pP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 w:val="23"/>
          <w:szCs w:val="23"/>
          <w:highlight w:val="none"/>
          <w:u w:val="single"/>
        </w:rPr>
        <w:t xml:space="preserve">        </w:t>
      </w:r>
      <w:r>
        <w:rPr>
          <w:rFonts w:hint="eastAsia" w:ascii="宋体" w:hAnsi="宋体" w:eastAsia="宋体" w:cs="宋体"/>
          <w:color w:val="auto"/>
          <w:kern w:val="0"/>
          <w:szCs w:val="21"/>
          <w:highlight w:val="none"/>
        </w:rPr>
        <w:t>日</w:t>
      </w:r>
    </w:p>
    <w:p w14:paraId="146FBAB2">
      <w:pPr>
        <w:spacing w:line="360" w:lineRule="auto"/>
        <w:ind w:firstLine="210" w:firstLineChars="100"/>
        <w:rPr>
          <w:rFonts w:hint="eastAsia" w:ascii="宋体" w:hAnsi="宋体" w:eastAsia="宋体" w:cs="宋体"/>
          <w:color w:val="auto"/>
          <w:szCs w:val="21"/>
          <w:highlight w:val="none"/>
        </w:rPr>
      </w:pPr>
    </w:p>
    <w:p w14:paraId="74A11D3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r>
        <w:rPr>
          <w:rFonts w:hint="eastAsia" w:ascii="宋体" w:hAnsi="宋体" w:eastAsia="宋体" w:cs="宋体"/>
          <w:color w:val="auto"/>
          <w:kern w:val="0"/>
          <w:szCs w:val="21"/>
          <w:highlight w:val="none"/>
        </w:rPr>
        <w:t>委托代理人</w:t>
      </w:r>
      <w:r>
        <w:rPr>
          <w:rFonts w:hint="eastAsia" w:ascii="宋体" w:hAnsi="宋体" w:eastAsia="宋体" w:cs="宋体"/>
          <w:color w:val="auto"/>
          <w:szCs w:val="21"/>
          <w:highlight w:val="none"/>
        </w:rPr>
        <w:t>身份证正反面扫描件</w:t>
      </w:r>
    </w:p>
    <w:p w14:paraId="6724F129">
      <w:pPr>
        <w:adjustRightInd w:val="0"/>
        <w:snapToGrid w:val="0"/>
        <w:spacing w:line="336" w:lineRule="auto"/>
        <w:jc w:val="center"/>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三、</w:t>
      </w:r>
      <w:bookmarkStart w:id="135" w:name="_Toc414956975"/>
      <w:bookmarkStart w:id="136" w:name="_Toc417567991"/>
      <w:bookmarkStart w:id="137" w:name="_Toc398716804"/>
      <w:r>
        <w:rPr>
          <w:rFonts w:hint="eastAsia" w:ascii="宋体" w:hAnsi="宋体" w:eastAsia="宋体" w:cs="宋体"/>
          <w:b/>
          <w:bCs/>
          <w:color w:val="auto"/>
          <w:sz w:val="28"/>
          <w:szCs w:val="28"/>
          <w:highlight w:val="none"/>
        </w:rPr>
        <w:t>技术条款偏离表</w:t>
      </w:r>
    </w:p>
    <w:bookmarkEnd w:id="135"/>
    <w:bookmarkEnd w:id="136"/>
    <w:bookmarkEnd w:id="137"/>
    <w:tbl>
      <w:tblPr>
        <w:tblStyle w:val="23"/>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583"/>
        <w:gridCol w:w="1222"/>
        <w:gridCol w:w="1255"/>
        <w:gridCol w:w="1979"/>
        <w:gridCol w:w="1486"/>
      </w:tblGrid>
      <w:tr w14:paraId="54AB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32" w:type="dxa"/>
            <w:noWrap w:val="0"/>
            <w:vAlign w:val="center"/>
          </w:tcPr>
          <w:p w14:paraId="268AA2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3" w:type="dxa"/>
            <w:noWrap w:val="0"/>
            <w:vAlign w:val="center"/>
          </w:tcPr>
          <w:p w14:paraId="2EB86C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vertAlign w:val="baseline"/>
                <w:lang w:val="en-US" w:eastAsia="zh-CN"/>
              </w:rPr>
              <w:t>名称</w:t>
            </w:r>
          </w:p>
        </w:tc>
        <w:tc>
          <w:tcPr>
            <w:tcW w:w="1222" w:type="dxa"/>
            <w:noWrap w:val="0"/>
            <w:vAlign w:val="center"/>
          </w:tcPr>
          <w:p w14:paraId="4A0B4944">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val="en-US" w:eastAsia="zh-CN"/>
              </w:rPr>
              <w:t>要求</w:t>
            </w:r>
          </w:p>
        </w:tc>
        <w:tc>
          <w:tcPr>
            <w:tcW w:w="1255" w:type="dxa"/>
            <w:noWrap w:val="0"/>
            <w:vAlign w:val="center"/>
          </w:tcPr>
          <w:p w14:paraId="158B0773">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lang w:val="en-US" w:eastAsia="zh-CN"/>
              </w:rPr>
              <w:t>技术内容</w:t>
            </w:r>
          </w:p>
        </w:tc>
        <w:tc>
          <w:tcPr>
            <w:tcW w:w="1979" w:type="dxa"/>
            <w:noWrap w:val="0"/>
            <w:vAlign w:val="center"/>
          </w:tcPr>
          <w:p w14:paraId="5F9ADC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偏差情况       （正/负/无偏离）</w:t>
            </w:r>
          </w:p>
        </w:tc>
        <w:tc>
          <w:tcPr>
            <w:tcW w:w="1486" w:type="dxa"/>
            <w:noWrap w:val="0"/>
            <w:vAlign w:val="center"/>
          </w:tcPr>
          <w:p w14:paraId="21482C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3D7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32" w:type="dxa"/>
            <w:noWrap w:val="0"/>
            <w:vAlign w:val="center"/>
          </w:tcPr>
          <w:p w14:paraId="39BED8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3" w:type="dxa"/>
            <w:noWrap w:val="0"/>
            <w:vAlign w:val="center"/>
          </w:tcPr>
          <w:p w14:paraId="64BF32A6">
            <w:pPr>
              <w:spacing w:line="360" w:lineRule="auto"/>
              <w:jc w:val="center"/>
              <w:rPr>
                <w:rFonts w:hint="eastAsia" w:ascii="宋体" w:hAnsi="宋体" w:eastAsia="宋体" w:cs="宋体"/>
                <w:color w:val="auto"/>
                <w:szCs w:val="21"/>
                <w:highlight w:val="none"/>
              </w:rPr>
            </w:pPr>
          </w:p>
        </w:tc>
        <w:tc>
          <w:tcPr>
            <w:tcW w:w="1222" w:type="dxa"/>
            <w:noWrap w:val="0"/>
            <w:vAlign w:val="center"/>
          </w:tcPr>
          <w:p w14:paraId="6EDA607D">
            <w:pPr>
              <w:spacing w:line="360" w:lineRule="auto"/>
              <w:jc w:val="center"/>
              <w:rPr>
                <w:rFonts w:hint="eastAsia" w:ascii="宋体" w:hAnsi="宋体" w:eastAsia="宋体" w:cs="宋体"/>
                <w:color w:val="auto"/>
                <w:szCs w:val="21"/>
                <w:highlight w:val="none"/>
              </w:rPr>
            </w:pPr>
          </w:p>
        </w:tc>
        <w:tc>
          <w:tcPr>
            <w:tcW w:w="1255" w:type="dxa"/>
            <w:noWrap w:val="0"/>
            <w:vAlign w:val="center"/>
          </w:tcPr>
          <w:p w14:paraId="7952FB44">
            <w:pPr>
              <w:spacing w:line="360" w:lineRule="auto"/>
              <w:jc w:val="center"/>
              <w:rPr>
                <w:rFonts w:hint="eastAsia" w:ascii="宋体" w:hAnsi="宋体" w:eastAsia="宋体" w:cs="宋体"/>
                <w:color w:val="auto"/>
                <w:szCs w:val="21"/>
                <w:highlight w:val="none"/>
              </w:rPr>
            </w:pPr>
          </w:p>
        </w:tc>
        <w:tc>
          <w:tcPr>
            <w:tcW w:w="1979" w:type="dxa"/>
            <w:noWrap w:val="0"/>
            <w:vAlign w:val="center"/>
          </w:tcPr>
          <w:p w14:paraId="799370F0">
            <w:pPr>
              <w:spacing w:line="360" w:lineRule="auto"/>
              <w:jc w:val="center"/>
              <w:rPr>
                <w:rFonts w:hint="eastAsia" w:ascii="宋体" w:hAnsi="宋体" w:eastAsia="宋体" w:cs="宋体"/>
                <w:color w:val="auto"/>
                <w:szCs w:val="21"/>
                <w:highlight w:val="none"/>
              </w:rPr>
            </w:pPr>
          </w:p>
        </w:tc>
        <w:tc>
          <w:tcPr>
            <w:tcW w:w="1486" w:type="dxa"/>
            <w:noWrap w:val="0"/>
            <w:vAlign w:val="center"/>
          </w:tcPr>
          <w:p w14:paraId="12C4B515">
            <w:pPr>
              <w:spacing w:line="360" w:lineRule="auto"/>
              <w:jc w:val="center"/>
              <w:rPr>
                <w:rFonts w:hint="eastAsia" w:ascii="宋体" w:hAnsi="宋体" w:eastAsia="宋体" w:cs="宋体"/>
                <w:color w:val="auto"/>
                <w:szCs w:val="21"/>
                <w:highlight w:val="none"/>
              </w:rPr>
            </w:pPr>
          </w:p>
        </w:tc>
      </w:tr>
      <w:tr w14:paraId="1213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32" w:type="dxa"/>
            <w:noWrap w:val="0"/>
            <w:vAlign w:val="center"/>
          </w:tcPr>
          <w:p w14:paraId="1AEEC6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3" w:type="dxa"/>
            <w:noWrap w:val="0"/>
            <w:vAlign w:val="center"/>
          </w:tcPr>
          <w:p w14:paraId="478CEB34">
            <w:pPr>
              <w:spacing w:line="360" w:lineRule="auto"/>
              <w:jc w:val="center"/>
              <w:rPr>
                <w:rFonts w:hint="eastAsia" w:ascii="宋体" w:hAnsi="宋体" w:eastAsia="宋体" w:cs="宋体"/>
                <w:color w:val="auto"/>
                <w:szCs w:val="21"/>
                <w:highlight w:val="none"/>
              </w:rPr>
            </w:pPr>
          </w:p>
        </w:tc>
        <w:tc>
          <w:tcPr>
            <w:tcW w:w="1222" w:type="dxa"/>
            <w:noWrap w:val="0"/>
            <w:vAlign w:val="center"/>
          </w:tcPr>
          <w:p w14:paraId="6F3275BC">
            <w:pPr>
              <w:spacing w:line="360" w:lineRule="auto"/>
              <w:jc w:val="center"/>
              <w:rPr>
                <w:rFonts w:hint="eastAsia" w:ascii="宋体" w:hAnsi="宋体" w:eastAsia="宋体" w:cs="宋体"/>
                <w:color w:val="auto"/>
                <w:szCs w:val="21"/>
                <w:highlight w:val="none"/>
              </w:rPr>
            </w:pPr>
          </w:p>
        </w:tc>
        <w:tc>
          <w:tcPr>
            <w:tcW w:w="1255" w:type="dxa"/>
            <w:noWrap w:val="0"/>
            <w:vAlign w:val="center"/>
          </w:tcPr>
          <w:p w14:paraId="2784463F">
            <w:pPr>
              <w:spacing w:line="360" w:lineRule="auto"/>
              <w:jc w:val="center"/>
              <w:rPr>
                <w:rFonts w:hint="eastAsia" w:ascii="宋体" w:hAnsi="宋体" w:eastAsia="宋体" w:cs="宋体"/>
                <w:color w:val="auto"/>
                <w:szCs w:val="21"/>
                <w:highlight w:val="none"/>
              </w:rPr>
            </w:pPr>
          </w:p>
        </w:tc>
        <w:tc>
          <w:tcPr>
            <w:tcW w:w="1979" w:type="dxa"/>
            <w:noWrap w:val="0"/>
            <w:vAlign w:val="center"/>
          </w:tcPr>
          <w:p w14:paraId="1D484B5F">
            <w:pPr>
              <w:spacing w:line="360" w:lineRule="auto"/>
              <w:jc w:val="center"/>
              <w:rPr>
                <w:rFonts w:hint="eastAsia" w:ascii="宋体" w:hAnsi="宋体" w:eastAsia="宋体" w:cs="宋体"/>
                <w:color w:val="auto"/>
                <w:szCs w:val="21"/>
                <w:highlight w:val="none"/>
              </w:rPr>
            </w:pPr>
          </w:p>
        </w:tc>
        <w:tc>
          <w:tcPr>
            <w:tcW w:w="1486" w:type="dxa"/>
            <w:noWrap w:val="0"/>
            <w:vAlign w:val="center"/>
          </w:tcPr>
          <w:p w14:paraId="3E542444">
            <w:pPr>
              <w:spacing w:line="360" w:lineRule="auto"/>
              <w:jc w:val="center"/>
              <w:rPr>
                <w:rFonts w:hint="eastAsia" w:ascii="宋体" w:hAnsi="宋体" w:eastAsia="宋体" w:cs="宋体"/>
                <w:color w:val="auto"/>
                <w:szCs w:val="21"/>
                <w:highlight w:val="none"/>
              </w:rPr>
            </w:pPr>
          </w:p>
        </w:tc>
      </w:tr>
      <w:tr w14:paraId="3295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32" w:type="dxa"/>
            <w:noWrap w:val="0"/>
            <w:vAlign w:val="center"/>
          </w:tcPr>
          <w:p w14:paraId="23772F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3" w:type="dxa"/>
            <w:noWrap w:val="0"/>
            <w:vAlign w:val="center"/>
          </w:tcPr>
          <w:p w14:paraId="6C7326BB">
            <w:pPr>
              <w:spacing w:line="360" w:lineRule="auto"/>
              <w:jc w:val="center"/>
              <w:rPr>
                <w:rFonts w:hint="eastAsia" w:ascii="宋体" w:hAnsi="宋体" w:eastAsia="宋体" w:cs="宋体"/>
                <w:color w:val="auto"/>
                <w:szCs w:val="21"/>
                <w:highlight w:val="none"/>
              </w:rPr>
            </w:pPr>
          </w:p>
        </w:tc>
        <w:tc>
          <w:tcPr>
            <w:tcW w:w="1222" w:type="dxa"/>
            <w:noWrap w:val="0"/>
            <w:vAlign w:val="center"/>
          </w:tcPr>
          <w:p w14:paraId="521B37B3">
            <w:pPr>
              <w:spacing w:line="360" w:lineRule="auto"/>
              <w:jc w:val="center"/>
              <w:rPr>
                <w:rFonts w:hint="eastAsia" w:ascii="宋体" w:hAnsi="宋体" w:eastAsia="宋体" w:cs="宋体"/>
                <w:color w:val="auto"/>
                <w:szCs w:val="21"/>
                <w:highlight w:val="none"/>
              </w:rPr>
            </w:pPr>
          </w:p>
        </w:tc>
        <w:tc>
          <w:tcPr>
            <w:tcW w:w="1255" w:type="dxa"/>
            <w:noWrap w:val="0"/>
            <w:vAlign w:val="center"/>
          </w:tcPr>
          <w:p w14:paraId="3CCAD156">
            <w:pPr>
              <w:spacing w:line="360" w:lineRule="auto"/>
              <w:jc w:val="center"/>
              <w:rPr>
                <w:rFonts w:hint="eastAsia" w:ascii="宋体" w:hAnsi="宋体" w:eastAsia="宋体" w:cs="宋体"/>
                <w:color w:val="auto"/>
                <w:szCs w:val="21"/>
                <w:highlight w:val="none"/>
              </w:rPr>
            </w:pPr>
          </w:p>
        </w:tc>
        <w:tc>
          <w:tcPr>
            <w:tcW w:w="1979" w:type="dxa"/>
            <w:noWrap w:val="0"/>
            <w:vAlign w:val="center"/>
          </w:tcPr>
          <w:p w14:paraId="089A8743">
            <w:pPr>
              <w:spacing w:line="360" w:lineRule="auto"/>
              <w:jc w:val="center"/>
              <w:rPr>
                <w:rFonts w:hint="eastAsia" w:ascii="宋体" w:hAnsi="宋体" w:eastAsia="宋体" w:cs="宋体"/>
                <w:color w:val="auto"/>
                <w:szCs w:val="21"/>
                <w:highlight w:val="none"/>
              </w:rPr>
            </w:pPr>
          </w:p>
        </w:tc>
        <w:tc>
          <w:tcPr>
            <w:tcW w:w="1486" w:type="dxa"/>
            <w:noWrap w:val="0"/>
            <w:vAlign w:val="center"/>
          </w:tcPr>
          <w:p w14:paraId="29D7B9E9">
            <w:pPr>
              <w:spacing w:line="360" w:lineRule="auto"/>
              <w:jc w:val="center"/>
              <w:rPr>
                <w:rFonts w:hint="eastAsia" w:ascii="宋体" w:hAnsi="宋体" w:eastAsia="宋体" w:cs="宋体"/>
                <w:color w:val="auto"/>
                <w:szCs w:val="21"/>
                <w:highlight w:val="none"/>
              </w:rPr>
            </w:pPr>
          </w:p>
        </w:tc>
      </w:tr>
      <w:tr w14:paraId="7841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2" w:type="dxa"/>
            <w:noWrap w:val="0"/>
            <w:vAlign w:val="center"/>
          </w:tcPr>
          <w:p w14:paraId="7FCB12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83" w:type="dxa"/>
            <w:noWrap w:val="0"/>
            <w:vAlign w:val="center"/>
          </w:tcPr>
          <w:p w14:paraId="65001BA4">
            <w:pPr>
              <w:spacing w:line="360" w:lineRule="auto"/>
              <w:jc w:val="center"/>
              <w:rPr>
                <w:rFonts w:hint="eastAsia" w:ascii="宋体" w:hAnsi="宋体" w:eastAsia="宋体" w:cs="宋体"/>
                <w:color w:val="auto"/>
                <w:szCs w:val="21"/>
                <w:highlight w:val="none"/>
              </w:rPr>
            </w:pPr>
          </w:p>
        </w:tc>
        <w:tc>
          <w:tcPr>
            <w:tcW w:w="1222" w:type="dxa"/>
            <w:noWrap w:val="0"/>
            <w:vAlign w:val="center"/>
          </w:tcPr>
          <w:p w14:paraId="19657A1C">
            <w:pPr>
              <w:spacing w:line="360" w:lineRule="auto"/>
              <w:jc w:val="center"/>
              <w:rPr>
                <w:rFonts w:hint="eastAsia" w:ascii="宋体" w:hAnsi="宋体" w:eastAsia="宋体" w:cs="宋体"/>
                <w:color w:val="auto"/>
                <w:szCs w:val="21"/>
                <w:highlight w:val="none"/>
              </w:rPr>
            </w:pPr>
          </w:p>
        </w:tc>
        <w:tc>
          <w:tcPr>
            <w:tcW w:w="1255" w:type="dxa"/>
            <w:noWrap w:val="0"/>
            <w:vAlign w:val="center"/>
          </w:tcPr>
          <w:p w14:paraId="7A4767D5">
            <w:pPr>
              <w:spacing w:line="360" w:lineRule="auto"/>
              <w:jc w:val="center"/>
              <w:rPr>
                <w:rFonts w:hint="eastAsia" w:ascii="宋体" w:hAnsi="宋体" w:eastAsia="宋体" w:cs="宋体"/>
                <w:color w:val="auto"/>
                <w:szCs w:val="21"/>
                <w:highlight w:val="none"/>
              </w:rPr>
            </w:pPr>
          </w:p>
        </w:tc>
        <w:tc>
          <w:tcPr>
            <w:tcW w:w="1979" w:type="dxa"/>
            <w:noWrap w:val="0"/>
            <w:vAlign w:val="center"/>
          </w:tcPr>
          <w:p w14:paraId="64E1D57C">
            <w:pPr>
              <w:spacing w:line="360" w:lineRule="auto"/>
              <w:jc w:val="center"/>
              <w:rPr>
                <w:rFonts w:hint="eastAsia" w:ascii="宋体" w:hAnsi="宋体" w:eastAsia="宋体" w:cs="宋体"/>
                <w:color w:val="auto"/>
                <w:szCs w:val="21"/>
                <w:highlight w:val="none"/>
              </w:rPr>
            </w:pPr>
          </w:p>
        </w:tc>
        <w:tc>
          <w:tcPr>
            <w:tcW w:w="1486" w:type="dxa"/>
            <w:noWrap w:val="0"/>
            <w:vAlign w:val="center"/>
          </w:tcPr>
          <w:p w14:paraId="75984E70">
            <w:pPr>
              <w:spacing w:line="360" w:lineRule="auto"/>
              <w:jc w:val="center"/>
              <w:rPr>
                <w:rFonts w:hint="eastAsia" w:ascii="宋体" w:hAnsi="宋体" w:eastAsia="宋体" w:cs="宋体"/>
                <w:color w:val="auto"/>
                <w:szCs w:val="21"/>
                <w:highlight w:val="none"/>
              </w:rPr>
            </w:pPr>
          </w:p>
        </w:tc>
      </w:tr>
      <w:tr w14:paraId="7B90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32" w:type="dxa"/>
            <w:noWrap w:val="0"/>
            <w:vAlign w:val="center"/>
          </w:tcPr>
          <w:p w14:paraId="738C8B4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83" w:type="dxa"/>
            <w:noWrap w:val="0"/>
            <w:vAlign w:val="center"/>
          </w:tcPr>
          <w:p w14:paraId="63204F4A">
            <w:pPr>
              <w:spacing w:line="360" w:lineRule="auto"/>
              <w:jc w:val="center"/>
              <w:rPr>
                <w:rFonts w:hint="eastAsia" w:ascii="宋体" w:hAnsi="宋体" w:eastAsia="宋体" w:cs="宋体"/>
                <w:color w:val="auto"/>
                <w:szCs w:val="21"/>
                <w:highlight w:val="none"/>
              </w:rPr>
            </w:pPr>
          </w:p>
        </w:tc>
        <w:tc>
          <w:tcPr>
            <w:tcW w:w="1222" w:type="dxa"/>
            <w:noWrap w:val="0"/>
            <w:vAlign w:val="center"/>
          </w:tcPr>
          <w:p w14:paraId="302DE1B9">
            <w:pPr>
              <w:spacing w:line="360" w:lineRule="auto"/>
              <w:jc w:val="center"/>
              <w:rPr>
                <w:rFonts w:hint="eastAsia" w:ascii="宋体" w:hAnsi="宋体" w:eastAsia="宋体" w:cs="宋体"/>
                <w:color w:val="auto"/>
                <w:szCs w:val="21"/>
                <w:highlight w:val="none"/>
              </w:rPr>
            </w:pPr>
          </w:p>
        </w:tc>
        <w:tc>
          <w:tcPr>
            <w:tcW w:w="1255" w:type="dxa"/>
            <w:noWrap w:val="0"/>
            <w:vAlign w:val="center"/>
          </w:tcPr>
          <w:p w14:paraId="509D30A1">
            <w:pPr>
              <w:spacing w:line="360" w:lineRule="auto"/>
              <w:jc w:val="center"/>
              <w:rPr>
                <w:rFonts w:hint="eastAsia" w:ascii="宋体" w:hAnsi="宋体" w:eastAsia="宋体" w:cs="宋体"/>
                <w:color w:val="auto"/>
                <w:szCs w:val="21"/>
                <w:highlight w:val="none"/>
              </w:rPr>
            </w:pPr>
          </w:p>
        </w:tc>
        <w:tc>
          <w:tcPr>
            <w:tcW w:w="1979" w:type="dxa"/>
            <w:noWrap w:val="0"/>
            <w:vAlign w:val="center"/>
          </w:tcPr>
          <w:p w14:paraId="3178B5C6">
            <w:pPr>
              <w:spacing w:line="360" w:lineRule="auto"/>
              <w:jc w:val="center"/>
              <w:rPr>
                <w:rFonts w:hint="eastAsia" w:ascii="宋体" w:hAnsi="宋体" w:eastAsia="宋体" w:cs="宋体"/>
                <w:color w:val="auto"/>
                <w:szCs w:val="21"/>
                <w:highlight w:val="none"/>
              </w:rPr>
            </w:pPr>
          </w:p>
        </w:tc>
        <w:tc>
          <w:tcPr>
            <w:tcW w:w="1486" w:type="dxa"/>
            <w:noWrap w:val="0"/>
            <w:vAlign w:val="center"/>
          </w:tcPr>
          <w:p w14:paraId="31189FD9">
            <w:pPr>
              <w:spacing w:line="360" w:lineRule="auto"/>
              <w:jc w:val="center"/>
              <w:rPr>
                <w:rFonts w:hint="eastAsia" w:ascii="宋体" w:hAnsi="宋体" w:eastAsia="宋体" w:cs="宋体"/>
                <w:color w:val="auto"/>
                <w:szCs w:val="21"/>
                <w:highlight w:val="none"/>
              </w:rPr>
            </w:pPr>
          </w:p>
        </w:tc>
      </w:tr>
      <w:tr w14:paraId="03D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2" w:type="dxa"/>
            <w:noWrap w:val="0"/>
            <w:vAlign w:val="center"/>
          </w:tcPr>
          <w:p w14:paraId="1D8B197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583" w:type="dxa"/>
            <w:noWrap w:val="0"/>
            <w:vAlign w:val="center"/>
          </w:tcPr>
          <w:p w14:paraId="4D68A474">
            <w:pPr>
              <w:spacing w:line="360" w:lineRule="auto"/>
              <w:rPr>
                <w:rFonts w:hint="eastAsia" w:ascii="宋体" w:hAnsi="宋体" w:eastAsia="宋体" w:cs="宋体"/>
                <w:color w:val="auto"/>
                <w:highlight w:val="none"/>
              </w:rPr>
            </w:pPr>
          </w:p>
        </w:tc>
        <w:tc>
          <w:tcPr>
            <w:tcW w:w="1222" w:type="dxa"/>
            <w:noWrap w:val="0"/>
            <w:vAlign w:val="center"/>
          </w:tcPr>
          <w:p w14:paraId="667CDADA">
            <w:pPr>
              <w:spacing w:line="360" w:lineRule="auto"/>
              <w:rPr>
                <w:rFonts w:hint="eastAsia" w:ascii="宋体" w:hAnsi="宋体" w:eastAsia="宋体" w:cs="宋体"/>
                <w:color w:val="auto"/>
                <w:highlight w:val="none"/>
              </w:rPr>
            </w:pPr>
          </w:p>
        </w:tc>
        <w:tc>
          <w:tcPr>
            <w:tcW w:w="1255" w:type="dxa"/>
            <w:noWrap w:val="0"/>
            <w:vAlign w:val="center"/>
          </w:tcPr>
          <w:p w14:paraId="5BAEE412">
            <w:pPr>
              <w:spacing w:line="360" w:lineRule="auto"/>
              <w:rPr>
                <w:rFonts w:hint="eastAsia" w:ascii="宋体" w:hAnsi="宋体" w:eastAsia="宋体" w:cs="宋体"/>
                <w:color w:val="auto"/>
                <w:highlight w:val="none"/>
              </w:rPr>
            </w:pPr>
          </w:p>
        </w:tc>
        <w:tc>
          <w:tcPr>
            <w:tcW w:w="1979" w:type="dxa"/>
            <w:noWrap w:val="0"/>
            <w:vAlign w:val="center"/>
          </w:tcPr>
          <w:p w14:paraId="6AD61736">
            <w:pPr>
              <w:spacing w:line="360" w:lineRule="auto"/>
              <w:rPr>
                <w:rFonts w:hint="eastAsia" w:ascii="宋体" w:hAnsi="宋体" w:eastAsia="宋体" w:cs="宋体"/>
                <w:color w:val="auto"/>
                <w:highlight w:val="none"/>
              </w:rPr>
            </w:pPr>
          </w:p>
        </w:tc>
        <w:tc>
          <w:tcPr>
            <w:tcW w:w="1486" w:type="dxa"/>
            <w:noWrap w:val="0"/>
            <w:vAlign w:val="center"/>
          </w:tcPr>
          <w:p w14:paraId="1E05D99C">
            <w:pPr>
              <w:spacing w:line="360" w:lineRule="auto"/>
              <w:rPr>
                <w:rFonts w:hint="eastAsia" w:ascii="宋体" w:hAnsi="宋体" w:eastAsia="宋体" w:cs="宋体"/>
                <w:color w:val="auto"/>
                <w:highlight w:val="none"/>
              </w:rPr>
            </w:pPr>
          </w:p>
        </w:tc>
      </w:tr>
    </w:tbl>
    <w:p w14:paraId="633ACEFD">
      <w:pPr>
        <w:pStyle w:val="7"/>
        <w:spacing w:after="0" w:line="360" w:lineRule="auto"/>
        <w:ind w:left="400" w:hanging="400" w:hangingChars="200"/>
        <w:rPr>
          <w:rFonts w:hint="eastAsia" w:ascii="宋体" w:hAnsi="宋体" w:eastAsia="宋体" w:cs="宋体"/>
          <w:color w:val="auto"/>
          <w:szCs w:val="21"/>
          <w:highlight w:val="none"/>
        </w:rPr>
      </w:pPr>
    </w:p>
    <w:p w14:paraId="78223B5E">
      <w:pPr>
        <w:pStyle w:val="7"/>
        <w:spacing w:after="0"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w:t>
      </w:r>
    </w:p>
    <w:p w14:paraId="5EE0ACDD">
      <w:pPr>
        <w:pStyle w:val="7"/>
        <w:spacing w:after="0" w:line="360" w:lineRule="auto"/>
        <w:ind w:left="40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val="en-US" w:eastAsia="zh-CN"/>
        </w:rPr>
        <w:t>本表只对招标</w:t>
      </w:r>
      <w:r>
        <w:rPr>
          <w:rFonts w:hint="eastAsia" w:ascii="宋体" w:hAnsi="宋体" w:eastAsia="宋体" w:cs="宋体"/>
          <w:color w:val="auto"/>
          <w:sz w:val="21"/>
          <w:szCs w:val="21"/>
          <w:highlight w:val="none"/>
        </w:rPr>
        <w:t>第四章“</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中的技术要求进行描述，</w:t>
      </w:r>
      <w:r>
        <w:rPr>
          <w:rFonts w:hint="eastAsia" w:ascii="宋体" w:hAnsi="宋体" w:eastAsia="宋体" w:cs="宋体"/>
          <w:b/>
          <w:bCs/>
          <w:color w:val="auto"/>
          <w:sz w:val="21"/>
          <w:szCs w:val="21"/>
          <w:highlight w:val="none"/>
        </w:rPr>
        <w:t>未填写此表视为不响应招标文件，按废标处理，投标人可根据招标项目情况，对表格进行调整</w:t>
      </w:r>
      <w:r>
        <w:rPr>
          <w:rFonts w:hint="eastAsia" w:ascii="宋体" w:hAnsi="宋体" w:eastAsia="宋体" w:cs="宋体"/>
          <w:color w:val="auto"/>
          <w:sz w:val="21"/>
          <w:szCs w:val="21"/>
          <w:highlight w:val="none"/>
        </w:rPr>
        <w:t>。</w:t>
      </w:r>
    </w:p>
    <w:p w14:paraId="71E8EDB4">
      <w:pPr>
        <w:spacing w:line="360" w:lineRule="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    2、</w:t>
      </w:r>
      <w:r>
        <w:rPr>
          <w:rFonts w:hint="eastAsia" w:ascii="宋体" w:hAnsi="宋体" w:eastAsia="宋体" w:cs="宋体"/>
          <w:b/>
          <w:bCs/>
          <w:color w:val="auto"/>
          <w:sz w:val="21"/>
          <w:szCs w:val="21"/>
          <w:highlight w:val="none"/>
          <w:u w:val="single"/>
        </w:rPr>
        <w:t>若投标人未列出但经审查确实存在或在以后的合同执行中发现技术偏离，投标人应弥补这些偏离并不能要求改变投标价格或合同价格，否则将被作为无效标处理或合同违约。</w:t>
      </w:r>
      <w:r>
        <w:rPr>
          <w:rFonts w:hint="eastAsia" w:ascii="宋体" w:hAnsi="宋体" w:eastAsia="宋体" w:cs="宋体"/>
          <w:b/>
          <w:bCs/>
          <w:color w:val="auto"/>
          <w:sz w:val="21"/>
          <w:szCs w:val="21"/>
          <w:highlight w:val="none"/>
          <w:u w:val="none"/>
        </w:rPr>
        <w:t xml:space="preserve">  </w:t>
      </w:r>
    </w:p>
    <w:p w14:paraId="5BA3CD22">
      <w:pPr>
        <w:pStyle w:val="22"/>
        <w:ind w:firstLine="600"/>
        <w:rPr>
          <w:rFonts w:hint="eastAsia" w:ascii="宋体" w:hAnsi="宋体" w:eastAsia="宋体" w:cs="宋体"/>
          <w:color w:val="auto"/>
          <w:sz w:val="21"/>
          <w:szCs w:val="21"/>
          <w:highlight w:val="none"/>
        </w:rPr>
      </w:pPr>
    </w:p>
    <w:p w14:paraId="64181CF0">
      <w:pPr>
        <w:rPr>
          <w:rFonts w:hint="eastAsia" w:ascii="宋体" w:hAnsi="宋体" w:eastAsia="宋体" w:cs="宋体"/>
          <w:color w:val="auto"/>
          <w:sz w:val="21"/>
          <w:szCs w:val="21"/>
          <w:highlight w:val="none"/>
        </w:rPr>
      </w:pPr>
    </w:p>
    <w:p w14:paraId="20DEC392">
      <w:pPr>
        <w:spacing w:line="360" w:lineRule="auto"/>
        <w:ind w:firstLine="4830" w:firstLine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snapToGrid w:val="0"/>
          <w:color w:val="auto"/>
          <w:kern w:val="0"/>
          <w:sz w:val="21"/>
          <w:szCs w:val="21"/>
          <w:highlight w:val="none"/>
        </w:rPr>
        <w:t>单位电子签章</w:t>
      </w:r>
      <w:r>
        <w:rPr>
          <w:rFonts w:hint="eastAsia" w:ascii="宋体" w:hAnsi="宋体" w:eastAsia="宋体" w:cs="宋体"/>
          <w:color w:val="auto"/>
          <w:sz w:val="21"/>
          <w:szCs w:val="21"/>
          <w:highlight w:val="none"/>
        </w:rPr>
        <w:t xml:space="preserve">）      </w:t>
      </w:r>
    </w:p>
    <w:p w14:paraId="72A96367">
      <w:pPr>
        <w:spacing w:line="360" w:lineRule="auto"/>
        <w:ind w:firstLine="4830" w:firstLine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（法定代表人电子签名）</w:t>
      </w:r>
    </w:p>
    <w:p w14:paraId="370E357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437D77F">
      <w:pPr>
        <w:adjustRightInd w:val="0"/>
        <w:snapToGrid w:val="0"/>
        <w:spacing w:line="360" w:lineRule="auto"/>
        <w:ind w:firstLine="7035" w:firstLineChars="335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年    月    日</w:t>
      </w:r>
    </w:p>
    <w:p w14:paraId="5DFEA1FC">
      <w:pPr>
        <w:spacing w:line="440" w:lineRule="exact"/>
        <w:jc w:val="center"/>
        <w:rPr>
          <w:rFonts w:hint="eastAsia" w:ascii="宋体" w:hAnsi="宋体" w:eastAsia="宋体" w:cs="宋体"/>
          <w:b/>
          <w:color w:val="auto"/>
          <w:sz w:val="30"/>
          <w:szCs w:val="30"/>
          <w:highlight w:val="none"/>
        </w:rPr>
      </w:pPr>
      <w:bookmarkStart w:id="138" w:name="_Toc417568003"/>
      <w:r>
        <w:rPr>
          <w:rFonts w:hint="eastAsia" w:ascii="宋体" w:hAnsi="宋体" w:eastAsia="宋体" w:cs="宋体"/>
          <w:b/>
          <w:bCs/>
          <w:color w:val="auto"/>
          <w:sz w:val="28"/>
          <w:szCs w:val="28"/>
          <w:highlight w:val="none"/>
        </w:rPr>
        <w:br w:type="page"/>
      </w:r>
      <w:r>
        <w:rPr>
          <w:rFonts w:hint="eastAsia" w:ascii="宋体" w:hAnsi="宋体" w:eastAsia="宋体" w:cs="宋体"/>
          <w:b/>
          <w:color w:val="auto"/>
          <w:sz w:val="30"/>
          <w:szCs w:val="30"/>
          <w:highlight w:val="none"/>
        </w:rPr>
        <w:t>五、</w:t>
      </w:r>
      <w:r>
        <w:rPr>
          <w:rFonts w:hint="eastAsia" w:ascii="宋体" w:hAnsi="宋体" w:eastAsia="宋体" w:cs="宋体"/>
          <w:b/>
          <w:color w:val="auto"/>
          <w:sz w:val="30"/>
          <w:szCs w:val="30"/>
          <w:highlight w:val="none"/>
          <w:lang w:val="en-US" w:eastAsia="zh-CN"/>
        </w:rPr>
        <w:t>技术部分</w:t>
      </w:r>
      <w:r>
        <w:rPr>
          <w:rFonts w:hint="eastAsia" w:ascii="宋体" w:hAnsi="宋体" w:eastAsia="宋体" w:cs="宋体"/>
          <w:b/>
          <w:color w:val="auto"/>
          <w:sz w:val="30"/>
          <w:szCs w:val="30"/>
          <w:highlight w:val="none"/>
        </w:rPr>
        <w:t>（格式自拟）</w:t>
      </w:r>
    </w:p>
    <w:p w14:paraId="749CC949">
      <w:pPr>
        <w:spacing w:line="440" w:lineRule="exact"/>
        <w:rPr>
          <w:rFonts w:hint="eastAsia" w:ascii="宋体" w:hAnsi="宋体" w:eastAsia="宋体" w:cs="宋体"/>
          <w:b/>
          <w:color w:val="auto"/>
          <w:sz w:val="30"/>
          <w:szCs w:val="30"/>
          <w:highlight w:val="none"/>
        </w:rPr>
      </w:pPr>
    </w:p>
    <w:p w14:paraId="0221B0F0">
      <w:pPr>
        <w:pStyle w:val="33"/>
        <w:ind w:firstLine="602"/>
        <w:rPr>
          <w:rFonts w:hint="eastAsia" w:ascii="宋体" w:hAnsi="宋体" w:eastAsia="宋体" w:cs="宋体"/>
          <w:b/>
          <w:color w:val="auto"/>
          <w:sz w:val="30"/>
          <w:szCs w:val="30"/>
          <w:highlight w:val="none"/>
        </w:rPr>
      </w:pPr>
    </w:p>
    <w:p w14:paraId="776EEE2B">
      <w:pPr>
        <w:rPr>
          <w:rFonts w:hint="eastAsia" w:ascii="宋体" w:hAnsi="宋体" w:eastAsia="宋体" w:cs="宋体"/>
          <w:b/>
          <w:color w:val="auto"/>
          <w:sz w:val="30"/>
          <w:szCs w:val="30"/>
          <w:highlight w:val="none"/>
        </w:rPr>
      </w:pPr>
    </w:p>
    <w:p w14:paraId="4E16177C">
      <w:pPr>
        <w:pStyle w:val="33"/>
        <w:ind w:firstLine="602"/>
        <w:rPr>
          <w:rFonts w:hint="eastAsia" w:ascii="宋体" w:hAnsi="宋体" w:eastAsia="宋体" w:cs="宋体"/>
          <w:b/>
          <w:color w:val="auto"/>
          <w:sz w:val="30"/>
          <w:szCs w:val="30"/>
          <w:highlight w:val="none"/>
        </w:rPr>
      </w:pPr>
    </w:p>
    <w:p w14:paraId="5246EEF5">
      <w:pPr>
        <w:rPr>
          <w:rFonts w:hint="eastAsia" w:ascii="宋体" w:hAnsi="宋体" w:eastAsia="宋体" w:cs="宋体"/>
          <w:b/>
          <w:color w:val="auto"/>
          <w:sz w:val="30"/>
          <w:szCs w:val="30"/>
          <w:highlight w:val="none"/>
        </w:rPr>
      </w:pPr>
    </w:p>
    <w:p w14:paraId="1F9B42B2">
      <w:pPr>
        <w:pStyle w:val="33"/>
        <w:rPr>
          <w:rFonts w:hint="eastAsia" w:ascii="宋体" w:hAnsi="宋体" w:eastAsia="宋体" w:cs="宋体"/>
          <w:color w:val="auto"/>
          <w:highlight w:val="none"/>
        </w:rPr>
      </w:pPr>
    </w:p>
    <w:p w14:paraId="64330356">
      <w:pPr>
        <w:spacing w:line="440" w:lineRule="exact"/>
        <w:jc w:val="center"/>
        <w:rPr>
          <w:rFonts w:hint="eastAsia" w:ascii="宋体" w:hAnsi="宋体" w:eastAsia="宋体" w:cs="宋体"/>
          <w:b/>
          <w:color w:val="auto"/>
          <w:sz w:val="30"/>
          <w:szCs w:val="30"/>
          <w:highlight w:val="none"/>
        </w:rPr>
      </w:pPr>
    </w:p>
    <w:p w14:paraId="1729D55B">
      <w:pPr>
        <w:spacing w:line="440" w:lineRule="exact"/>
        <w:jc w:val="center"/>
        <w:rPr>
          <w:rFonts w:hint="eastAsia" w:ascii="宋体" w:hAnsi="宋体" w:eastAsia="宋体" w:cs="宋体"/>
          <w:b/>
          <w:color w:val="auto"/>
          <w:sz w:val="30"/>
          <w:szCs w:val="30"/>
          <w:highlight w:val="none"/>
        </w:rPr>
      </w:pPr>
    </w:p>
    <w:p w14:paraId="02FEDAA4">
      <w:pPr>
        <w:spacing w:line="440" w:lineRule="exact"/>
        <w:jc w:val="center"/>
        <w:rPr>
          <w:rFonts w:hint="eastAsia" w:ascii="宋体" w:hAnsi="宋体" w:eastAsia="宋体" w:cs="宋体"/>
          <w:b/>
          <w:color w:val="auto"/>
          <w:sz w:val="30"/>
          <w:szCs w:val="30"/>
          <w:highlight w:val="none"/>
        </w:rPr>
      </w:pPr>
    </w:p>
    <w:p w14:paraId="1D6F0353">
      <w:pPr>
        <w:spacing w:line="440" w:lineRule="exact"/>
        <w:jc w:val="center"/>
        <w:rPr>
          <w:rFonts w:hint="eastAsia" w:ascii="宋体" w:hAnsi="宋体" w:eastAsia="宋体" w:cs="宋体"/>
          <w:b/>
          <w:color w:val="auto"/>
          <w:sz w:val="30"/>
          <w:szCs w:val="30"/>
          <w:highlight w:val="none"/>
        </w:rPr>
      </w:pPr>
    </w:p>
    <w:p w14:paraId="241AF9ED">
      <w:pPr>
        <w:spacing w:line="440" w:lineRule="exact"/>
        <w:jc w:val="center"/>
        <w:rPr>
          <w:rFonts w:hint="eastAsia" w:ascii="宋体" w:hAnsi="宋体" w:eastAsia="宋体" w:cs="宋体"/>
          <w:b/>
          <w:color w:val="auto"/>
          <w:sz w:val="30"/>
          <w:szCs w:val="30"/>
          <w:highlight w:val="none"/>
        </w:rPr>
      </w:pPr>
    </w:p>
    <w:p w14:paraId="78592EC6">
      <w:pPr>
        <w:spacing w:line="440" w:lineRule="exact"/>
        <w:jc w:val="center"/>
        <w:rPr>
          <w:rFonts w:hint="eastAsia" w:ascii="宋体" w:hAnsi="宋体" w:eastAsia="宋体" w:cs="宋体"/>
          <w:b/>
          <w:color w:val="auto"/>
          <w:sz w:val="30"/>
          <w:szCs w:val="30"/>
          <w:highlight w:val="none"/>
        </w:rPr>
      </w:pPr>
    </w:p>
    <w:p w14:paraId="040EFA55">
      <w:pPr>
        <w:spacing w:line="440" w:lineRule="exact"/>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六、</w:t>
      </w:r>
      <w:r>
        <w:rPr>
          <w:rFonts w:hint="eastAsia" w:ascii="宋体" w:hAnsi="宋体" w:eastAsia="宋体" w:cs="宋体"/>
          <w:b/>
          <w:color w:val="auto"/>
          <w:sz w:val="30"/>
          <w:szCs w:val="30"/>
          <w:highlight w:val="none"/>
          <w:lang w:val="en-US" w:eastAsia="zh-CN"/>
        </w:rPr>
        <w:t>综合部分</w:t>
      </w:r>
    </w:p>
    <w:p w14:paraId="1368034E">
      <w:pPr>
        <w:spacing w:line="440" w:lineRule="exact"/>
        <w:rPr>
          <w:rFonts w:hint="eastAsia" w:ascii="宋体" w:hAnsi="宋体" w:eastAsia="宋体" w:cs="宋体"/>
          <w:b/>
          <w:color w:val="auto"/>
          <w:sz w:val="30"/>
          <w:szCs w:val="30"/>
          <w:highlight w:val="none"/>
        </w:rPr>
      </w:pPr>
    </w:p>
    <w:p w14:paraId="139A1FC2">
      <w:pPr>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（格式内容自定）</w:t>
      </w:r>
    </w:p>
    <w:p w14:paraId="5C436954">
      <w:pPr>
        <w:spacing w:line="440" w:lineRule="exact"/>
        <w:ind w:firstLine="643" w:firstLineChars="200"/>
        <w:jc w:val="center"/>
        <w:rPr>
          <w:rFonts w:hint="eastAsia" w:ascii="宋体" w:hAnsi="宋体" w:eastAsia="宋体" w:cs="宋体"/>
          <w:b/>
          <w:color w:val="auto"/>
          <w:sz w:val="32"/>
          <w:szCs w:val="32"/>
          <w:highlight w:val="none"/>
        </w:rPr>
      </w:pPr>
    </w:p>
    <w:p w14:paraId="21821F57">
      <w:pPr>
        <w:spacing w:line="440" w:lineRule="exact"/>
        <w:ind w:firstLine="643" w:firstLineChars="200"/>
        <w:jc w:val="center"/>
        <w:rPr>
          <w:rFonts w:hint="eastAsia" w:ascii="宋体" w:hAnsi="宋体" w:eastAsia="宋体" w:cs="宋体"/>
          <w:b/>
          <w:color w:val="auto"/>
          <w:sz w:val="32"/>
          <w:szCs w:val="32"/>
          <w:highlight w:val="none"/>
        </w:rPr>
      </w:pPr>
    </w:p>
    <w:p w14:paraId="04BDF50A">
      <w:pPr>
        <w:spacing w:line="440" w:lineRule="exact"/>
        <w:ind w:firstLine="643" w:firstLineChars="200"/>
        <w:jc w:val="center"/>
        <w:rPr>
          <w:rFonts w:hint="eastAsia" w:ascii="宋体" w:hAnsi="宋体" w:eastAsia="宋体" w:cs="宋体"/>
          <w:b/>
          <w:color w:val="auto"/>
          <w:sz w:val="32"/>
          <w:szCs w:val="32"/>
          <w:highlight w:val="none"/>
        </w:rPr>
      </w:pPr>
    </w:p>
    <w:p w14:paraId="2A198FB2">
      <w:pPr>
        <w:spacing w:line="440" w:lineRule="exact"/>
        <w:ind w:firstLine="643" w:firstLineChars="200"/>
        <w:jc w:val="center"/>
        <w:rPr>
          <w:rFonts w:hint="eastAsia" w:ascii="宋体" w:hAnsi="宋体" w:eastAsia="宋体" w:cs="宋体"/>
          <w:b/>
          <w:color w:val="auto"/>
          <w:sz w:val="32"/>
          <w:szCs w:val="32"/>
          <w:highlight w:val="none"/>
        </w:rPr>
      </w:pPr>
    </w:p>
    <w:p w14:paraId="192E3BFC">
      <w:pPr>
        <w:spacing w:line="440" w:lineRule="exact"/>
        <w:ind w:firstLine="643" w:firstLineChars="200"/>
        <w:jc w:val="center"/>
        <w:rPr>
          <w:rFonts w:hint="eastAsia" w:ascii="宋体" w:hAnsi="宋体" w:eastAsia="宋体" w:cs="宋体"/>
          <w:b/>
          <w:color w:val="auto"/>
          <w:sz w:val="32"/>
          <w:szCs w:val="32"/>
          <w:highlight w:val="none"/>
        </w:rPr>
      </w:pPr>
    </w:p>
    <w:p w14:paraId="209ED206">
      <w:pPr>
        <w:spacing w:line="440" w:lineRule="exact"/>
        <w:ind w:firstLine="643" w:firstLineChars="200"/>
        <w:jc w:val="center"/>
        <w:rPr>
          <w:rFonts w:hint="eastAsia" w:ascii="宋体" w:hAnsi="宋体" w:eastAsia="宋体" w:cs="宋体"/>
          <w:b/>
          <w:color w:val="auto"/>
          <w:sz w:val="32"/>
          <w:szCs w:val="32"/>
          <w:highlight w:val="none"/>
        </w:rPr>
      </w:pPr>
    </w:p>
    <w:p w14:paraId="4B039D5A">
      <w:pPr>
        <w:spacing w:line="440" w:lineRule="exact"/>
        <w:ind w:firstLine="643" w:firstLineChars="200"/>
        <w:jc w:val="center"/>
        <w:rPr>
          <w:rFonts w:hint="eastAsia" w:ascii="宋体" w:hAnsi="宋体" w:eastAsia="宋体" w:cs="宋体"/>
          <w:b/>
          <w:color w:val="auto"/>
          <w:sz w:val="32"/>
          <w:szCs w:val="32"/>
          <w:highlight w:val="none"/>
        </w:rPr>
      </w:pPr>
    </w:p>
    <w:p w14:paraId="6DF4CE14">
      <w:pPr>
        <w:spacing w:line="440" w:lineRule="exact"/>
        <w:ind w:firstLine="643" w:firstLineChars="200"/>
        <w:jc w:val="center"/>
        <w:rPr>
          <w:rFonts w:hint="eastAsia" w:ascii="宋体" w:hAnsi="宋体" w:eastAsia="宋体" w:cs="宋体"/>
          <w:b/>
          <w:color w:val="auto"/>
          <w:sz w:val="32"/>
          <w:szCs w:val="32"/>
          <w:highlight w:val="none"/>
        </w:rPr>
      </w:pPr>
    </w:p>
    <w:p w14:paraId="5042F84E">
      <w:pPr>
        <w:spacing w:line="440" w:lineRule="exact"/>
        <w:ind w:firstLine="643" w:firstLineChars="200"/>
        <w:jc w:val="center"/>
        <w:rPr>
          <w:rFonts w:hint="eastAsia" w:ascii="宋体" w:hAnsi="宋体" w:eastAsia="宋体" w:cs="宋体"/>
          <w:b/>
          <w:color w:val="auto"/>
          <w:sz w:val="32"/>
          <w:szCs w:val="32"/>
          <w:highlight w:val="none"/>
        </w:rPr>
      </w:pPr>
    </w:p>
    <w:p w14:paraId="759D735C">
      <w:pPr>
        <w:spacing w:line="440" w:lineRule="exact"/>
        <w:ind w:firstLine="643" w:firstLineChars="200"/>
        <w:jc w:val="center"/>
        <w:rPr>
          <w:rFonts w:hint="eastAsia" w:ascii="宋体" w:hAnsi="宋体" w:eastAsia="宋体" w:cs="宋体"/>
          <w:b/>
          <w:color w:val="auto"/>
          <w:sz w:val="32"/>
          <w:szCs w:val="32"/>
          <w:highlight w:val="none"/>
        </w:rPr>
      </w:pPr>
    </w:p>
    <w:p w14:paraId="312EB571">
      <w:pPr>
        <w:spacing w:line="440" w:lineRule="exact"/>
        <w:ind w:firstLine="643" w:firstLineChars="200"/>
        <w:jc w:val="center"/>
        <w:rPr>
          <w:rFonts w:hint="eastAsia" w:ascii="宋体" w:hAnsi="宋体" w:eastAsia="宋体" w:cs="宋体"/>
          <w:b/>
          <w:color w:val="auto"/>
          <w:sz w:val="32"/>
          <w:szCs w:val="32"/>
          <w:highlight w:val="none"/>
        </w:rPr>
      </w:pPr>
    </w:p>
    <w:p w14:paraId="0F220BD4">
      <w:pPr>
        <w:spacing w:line="440" w:lineRule="exact"/>
        <w:ind w:firstLine="643" w:firstLineChars="200"/>
        <w:jc w:val="center"/>
        <w:rPr>
          <w:rFonts w:hint="eastAsia" w:ascii="宋体" w:hAnsi="宋体" w:eastAsia="宋体" w:cs="宋体"/>
          <w:b/>
          <w:color w:val="auto"/>
          <w:sz w:val="32"/>
          <w:szCs w:val="32"/>
          <w:highlight w:val="none"/>
        </w:rPr>
      </w:pPr>
    </w:p>
    <w:p w14:paraId="79CC6A49">
      <w:pPr>
        <w:spacing w:line="440" w:lineRule="exact"/>
        <w:ind w:firstLine="643" w:firstLineChars="200"/>
        <w:jc w:val="center"/>
        <w:rPr>
          <w:rFonts w:hint="eastAsia" w:ascii="宋体" w:hAnsi="宋体" w:eastAsia="宋体" w:cs="宋体"/>
          <w:b/>
          <w:color w:val="auto"/>
          <w:sz w:val="32"/>
          <w:szCs w:val="32"/>
          <w:highlight w:val="none"/>
        </w:rPr>
      </w:pPr>
    </w:p>
    <w:p w14:paraId="636F7C4D">
      <w:pPr>
        <w:spacing w:line="440" w:lineRule="exact"/>
        <w:ind w:firstLine="643" w:firstLineChars="200"/>
        <w:jc w:val="center"/>
        <w:rPr>
          <w:rFonts w:hint="eastAsia" w:ascii="宋体" w:hAnsi="宋体" w:eastAsia="宋体" w:cs="宋体"/>
          <w:b/>
          <w:color w:val="auto"/>
          <w:sz w:val="32"/>
          <w:szCs w:val="32"/>
          <w:highlight w:val="none"/>
        </w:rPr>
      </w:pPr>
    </w:p>
    <w:p w14:paraId="6E8C684F">
      <w:pPr>
        <w:spacing w:line="440" w:lineRule="exact"/>
        <w:ind w:firstLine="643" w:firstLineChars="200"/>
        <w:jc w:val="center"/>
        <w:rPr>
          <w:rFonts w:hint="eastAsia" w:ascii="宋体" w:hAnsi="宋体" w:eastAsia="宋体" w:cs="宋体"/>
          <w:b/>
          <w:color w:val="auto"/>
          <w:sz w:val="32"/>
          <w:szCs w:val="32"/>
          <w:highlight w:val="none"/>
        </w:rPr>
      </w:pPr>
    </w:p>
    <w:p w14:paraId="4BDEC22F">
      <w:pPr>
        <w:spacing w:line="440" w:lineRule="exact"/>
        <w:ind w:firstLine="643" w:firstLineChars="200"/>
        <w:jc w:val="center"/>
        <w:rPr>
          <w:rFonts w:hint="eastAsia" w:ascii="宋体" w:hAnsi="宋体" w:eastAsia="宋体" w:cs="宋体"/>
          <w:b/>
          <w:color w:val="auto"/>
          <w:sz w:val="32"/>
          <w:szCs w:val="32"/>
          <w:highlight w:val="none"/>
        </w:rPr>
      </w:pPr>
    </w:p>
    <w:p w14:paraId="4EA479FE">
      <w:pPr>
        <w:pStyle w:val="7"/>
        <w:rPr>
          <w:rFonts w:hint="eastAsia" w:ascii="宋体" w:hAnsi="宋体" w:eastAsia="宋体" w:cs="宋体"/>
          <w:b/>
          <w:bCs/>
          <w:color w:val="auto"/>
          <w:sz w:val="22"/>
          <w:szCs w:val="22"/>
          <w:highlight w:val="none"/>
        </w:rPr>
      </w:pPr>
    </w:p>
    <w:p w14:paraId="508C85C8">
      <w:pPr>
        <w:spacing w:line="440" w:lineRule="exact"/>
        <w:ind w:firstLine="420" w:firstLineChars="200"/>
        <w:jc w:val="center"/>
        <w:rPr>
          <w:rFonts w:hint="eastAsia" w:ascii="宋体" w:hAnsi="宋体" w:eastAsia="宋体" w:cs="宋体"/>
          <w:color w:val="auto"/>
          <w:highlight w:val="none"/>
        </w:rPr>
      </w:pPr>
    </w:p>
    <w:p w14:paraId="46242E72">
      <w:pPr>
        <w:spacing w:line="440" w:lineRule="exact"/>
        <w:ind w:firstLine="420" w:firstLineChars="200"/>
        <w:jc w:val="center"/>
        <w:rPr>
          <w:rFonts w:hint="eastAsia" w:ascii="宋体" w:hAnsi="宋体" w:eastAsia="宋体" w:cs="宋体"/>
          <w:color w:val="auto"/>
          <w:highlight w:val="none"/>
        </w:rPr>
      </w:pPr>
    </w:p>
    <w:p w14:paraId="7113FDAE">
      <w:pPr>
        <w:spacing w:line="440" w:lineRule="exact"/>
        <w:ind w:firstLine="420" w:firstLineChars="200"/>
        <w:jc w:val="center"/>
        <w:rPr>
          <w:rFonts w:hint="eastAsia" w:ascii="宋体" w:hAnsi="宋体" w:eastAsia="宋体" w:cs="宋体"/>
          <w:color w:val="auto"/>
          <w:highlight w:val="none"/>
        </w:rPr>
      </w:pPr>
    </w:p>
    <w:p w14:paraId="6E1CE462">
      <w:pPr>
        <w:spacing w:line="440" w:lineRule="exact"/>
        <w:ind w:firstLine="420" w:firstLineChars="200"/>
        <w:jc w:val="center"/>
        <w:rPr>
          <w:rFonts w:hint="eastAsia" w:ascii="宋体" w:hAnsi="宋体" w:eastAsia="宋体" w:cs="宋体"/>
          <w:color w:val="auto"/>
          <w:highlight w:val="none"/>
        </w:rPr>
      </w:pPr>
    </w:p>
    <w:p w14:paraId="4E7BF89C">
      <w:pPr>
        <w:spacing w:line="440" w:lineRule="exact"/>
        <w:ind w:firstLine="420" w:firstLineChars="200"/>
        <w:jc w:val="center"/>
        <w:rPr>
          <w:rFonts w:hint="eastAsia" w:ascii="宋体" w:hAnsi="宋体" w:eastAsia="宋体" w:cs="宋体"/>
          <w:color w:val="auto"/>
          <w:highlight w:val="none"/>
        </w:rPr>
      </w:pPr>
    </w:p>
    <w:p w14:paraId="550BAF47">
      <w:pPr>
        <w:spacing w:line="440" w:lineRule="exact"/>
        <w:ind w:firstLine="420" w:firstLineChars="200"/>
        <w:jc w:val="center"/>
        <w:rPr>
          <w:rFonts w:hint="eastAsia" w:ascii="宋体" w:hAnsi="宋体" w:eastAsia="宋体" w:cs="宋体"/>
          <w:color w:val="auto"/>
          <w:highlight w:val="none"/>
        </w:rPr>
      </w:pPr>
    </w:p>
    <w:p w14:paraId="2CDDD826">
      <w:pPr>
        <w:spacing w:line="440" w:lineRule="exact"/>
        <w:ind w:firstLine="420" w:firstLineChars="200"/>
        <w:jc w:val="center"/>
        <w:rPr>
          <w:rFonts w:hint="eastAsia" w:ascii="宋体" w:hAnsi="宋体" w:eastAsia="宋体" w:cs="宋体"/>
          <w:color w:val="auto"/>
          <w:highlight w:val="none"/>
        </w:rPr>
      </w:pPr>
    </w:p>
    <w:p w14:paraId="274BD521">
      <w:pPr>
        <w:spacing w:line="440" w:lineRule="exact"/>
        <w:ind w:firstLine="420" w:firstLineChars="200"/>
        <w:jc w:val="center"/>
        <w:rPr>
          <w:rFonts w:hint="eastAsia" w:ascii="宋体" w:hAnsi="宋体" w:eastAsia="宋体" w:cs="宋体"/>
          <w:color w:val="auto"/>
          <w:highlight w:val="none"/>
        </w:rPr>
      </w:pPr>
    </w:p>
    <w:p w14:paraId="5C6A14F8">
      <w:pPr>
        <w:spacing w:line="440" w:lineRule="exact"/>
        <w:ind w:firstLine="420" w:firstLineChars="200"/>
        <w:jc w:val="center"/>
        <w:rPr>
          <w:rFonts w:hint="eastAsia" w:ascii="宋体" w:hAnsi="宋体" w:eastAsia="宋体" w:cs="宋体"/>
          <w:color w:val="auto"/>
          <w:highlight w:val="none"/>
        </w:rPr>
      </w:pPr>
    </w:p>
    <w:p w14:paraId="3E7036CC">
      <w:pPr>
        <w:spacing w:line="440" w:lineRule="exact"/>
        <w:ind w:firstLine="420" w:firstLineChars="200"/>
        <w:jc w:val="center"/>
        <w:rPr>
          <w:rFonts w:hint="eastAsia" w:ascii="宋体" w:hAnsi="宋体" w:eastAsia="宋体" w:cs="宋体"/>
          <w:color w:val="auto"/>
          <w:highlight w:val="none"/>
        </w:rPr>
      </w:pPr>
    </w:p>
    <w:p w14:paraId="042E0DD4">
      <w:pPr>
        <w:spacing w:line="440" w:lineRule="exact"/>
        <w:ind w:firstLine="420" w:firstLineChars="200"/>
        <w:jc w:val="center"/>
        <w:rPr>
          <w:rFonts w:hint="eastAsia" w:ascii="宋体" w:hAnsi="宋体" w:eastAsia="宋体" w:cs="宋体"/>
          <w:color w:val="auto"/>
          <w:highlight w:val="none"/>
        </w:rPr>
      </w:pPr>
    </w:p>
    <w:p w14:paraId="0E8DC059">
      <w:pPr>
        <w:spacing w:line="440" w:lineRule="exact"/>
        <w:ind w:firstLine="420" w:firstLineChars="200"/>
        <w:jc w:val="center"/>
        <w:rPr>
          <w:rFonts w:hint="eastAsia" w:ascii="宋体" w:hAnsi="宋体" w:eastAsia="宋体" w:cs="宋体"/>
          <w:color w:val="auto"/>
          <w:highlight w:val="none"/>
        </w:rPr>
      </w:pPr>
    </w:p>
    <w:p w14:paraId="4ED621D3">
      <w:pPr>
        <w:spacing w:line="440" w:lineRule="exact"/>
        <w:jc w:val="center"/>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七、</w:t>
      </w:r>
      <w:bookmarkEnd w:id="138"/>
      <w:r>
        <w:rPr>
          <w:rFonts w:hint="eastAsia" w:ascii="宋体" w:hAnsi="宋体" w:cs="宋体"/>
          <w:b/>
          <w:color w:val="auto"/>
          <w:sz w:val="30"/>
          <w:szCs w:val="30"/>
          <w:highlight w:val="none"/>
          <w:lang w:eastAsia="zh-CN"/>
        </w:rPr>
        <w:t>资格证明材料</w:t>
      </w:r>
    </w:p>
    <w:p w14:paraId="09EB39AE">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1、资格审查资料</w:t>
      </w:r>
    </w:p>
    <w:p w14:paraId="409CFD6F">
      <w:pPr>
        <w:numPr>
          <w:ilvl w:val="0"/>
          <w:numId w:val="0"/>
        </w:numPr>
        <w:ind w:leftChars="0"/>
        <w:jc w:val="center"/>
        <w:rPr>
          <w:rFonts w:hint="eastAsia" w:ascii="宋体" w:hAnsi="宋体"/>
          <w:b/>
          <w:color w:val="auto"/>
          <w:szCs w:val="21"/>
          <w:highlight w:val="none"/>
        </w:rPr>
      </w:pPr>
      <w:r>
        <w:rPr>
          <w:rFonts w:hint="eastAsia" w:ascii="宋体" w:hAnsi="宋体"/>
          <w:b/>
          <w:color w:val="auto"/>
          <w:szCs w:val="21"/>
          <w:highlight w:val="none"/>
        </w:rPr>
        <w:t>供应商基本情况表</w:t>
      </w:r>
    </w:p>
    <w:p w14:paraId="163313AC">
      <w:pPr>
        <w:bidi w:val="0"/>
        <w:spacing w:line="400" w:lineRule="exact"/>
        <w:rPr>
          <w:rFonts w:hint="eastAsia" w:ascii="宋体" w:hAnsi="宋体" w:eastAsia="宋体" w:cs="宋体"/>
          <w:color w:val="auto"/>
          <w:sz w:val="21"/>
          <w:szCs w:val="21"/>
          <w:highlight w:val="none"/>
        </w:rPr>
      </w:pPr>
    </w:p>
    <w:tbl>
      <w:tblPr>
        <w:tblStyle w:val="23"/>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972"/>
        <w:gridCol w:w="1107"/>
        <w:gridCol w:w="1386"/>
        <w:gridCol w:w="216"/>
        <w:gridCol w:w="1353"/>
        <w:gridCol w:w="279"/>
        <w:gridCol w:w="768"/>
        <w:gridCol w:w="1546"/>
      </w:tblGrid>
      <w:tr w14:paraId="5828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612" w:type="dxa"/>
            <w:noWrap w:val="0"/>
            <w:vAlign w:val="center"/>
          </w:tcPr>
          <w:p w14:paraId="2D93F6AA">
            <w:pPr>
              <w:ind w:firstLine="0" w:firstLineChars="0"/>
              <w:rPr>
                <w:rFonts w:hint="eastAsia" w:ascii="宋体" w:hAnsi="宋体" w:cs="宋体"/>
                <w:color w:val="auto"/>
                <w:szCs w:val="21"/>
              </w:rPr>
            </w:pPr>
            <w:r>
              <w:rPr>
                <w:rFonts w:hint="eastAsia" w:ascii="宋体" w:hAnsi="宋体" w:cs="宋体"/>
                <w:color w:val="auto"/>
                <w:szCs w:val="21"/>
              </w:rPr>
              <w:t>供应商名称</w:t>
            </w:r>
          </w:p>
        </w:tc>
        <w:tc>
          <w:tcPr>
            <w:tcW w:w="7627" w:type="dxa"/>
            <w:gridSpan w:val="8"/>
            <w:noWrap w:val="0"/>
            <w:vAlign w:val="center"/>
          </w:tcPr>
          <w:p w14:paraId="15CF9F19">
            <w:pPr>
              <w:ind w:firstLine="420"/>
              <w:jc w:val="center"/>
              <w:rPr>
                <w:rFonts w:hint="eastAsia" w:ascii="宋体" w:hAnsi="宋体" w:cs="宋体"/>
                <w:color w:val="auto"/>
                <w:szCs w:val="21"/>
              </w:rPr>
            </w:pPr>
          </w:p>
        </w:tc>
      </w:tr>
      <w:tr w14:paraId="1A60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noWrap w:val="0"/>
            <w:vAlign w:val="center"/>
          </w:tcPr>
          <w:p w14:paraId="13D74289">
            <w:pPr>
              <w:ind w:firstLine="0" w:firstLineChars="0"/>
              <w:rPr>
                <w:rFonts w:hint="eastAsia" w:ascii="宋体" w:hAnsi="宋体" w:cs="宋体"/>
                <w:color w:val="auto"/>
                <w:szCs w:val="21"/>
              </w:rPr>
            </w:pPr>
            <w:r>
              <w:rPr>
                <w:rFonts w:hint="eastAsia" w:ascii="宋体" w:hAnsi="宋体" w:cs="宋体"/>
                <w:color w:val="auto"/>
                <w:szCs w:val="21"/>
              </w:rPr>
              <w:t>注册地址</w:t>
            </w:r>
          </w:p>
        </w:tc>
        <w:tc>
          <w:tcPr>
            <w:tcW w:w="3681" w:type="dxa"/>
            <w:gridSpan w:val="4"/>
            <w:noWrap w:val="0"/>
            <w:vAlign w:val="center"/>
          </w:tcPr>
          <w:p w14:paraId="6115282C">
            <w:pPr>
              <w:ind w:firstLine="420"/>
              <w:jc w:val="center"/>
              <w:rPr>
                <w:rFonts w:hint="eastAsia" w:ascii="宋体" w:hAnsi="宋体" w:cs="宋体"/>
                <w:color w:val="auto"/>
                <w:szCs w:val="21"/>
              </w:rPr>
            </w:pPr>
          </w:p>
        </w:tc>
        <w:tc>
          <w:tcPr>
            <w:tcW w:w="1353" w:type="dxa"/>
            <w:noWrap w:val="0"/>
            <w:vAlign w:val="center"/>
          </w:tcPr>
          <w:p w14:paraId="21E96A1F">
            <w:pPr>
              <w:ind w:firstLine="0" w:firstLineChars="0"/>
              <w:rPr>
                <w:rFonts w:hint="eastAsia" w:ascii="宋体" w:hAnsi="宋体" w:cs="宋体"/>
                <w:color w:val="auto"/>
                <w:szCs w:val="21"/>
              </w:rPr>
            </w:pPr>
            <w:r>
              <w:rPr>
                <w:rFonts w:hint="eastAsia" w:ascii="宋体" w:hAnsi="宋体" w:cs="宋体"/>
                <w:color w:val="auto"/>
                <w:szCs w:val="21"/>
              </w:rPr>
              <w:t>邮政编码</w:t>
            </w:r>
          </w:p>
        </w:tc>
        <w:tc>
          <w:tcPr>
            <w:tcW w:w="2593" w:type="dxa"/>
            <w:gridSpan w:val="3"/>
            <w:noWrap w:val="0"/>
            <w:vAlign w:val="center"/>
          </w:tcPr>
          <w:p w14:paraId="60513B63">
            <w:pPr>
              <w:ind w:firstLine="420"/>
              <w:jc w:val="center"/>
              <w:rPr>
                <w:rFonts w:hint="eastAsia" w:ascii="宋体" w:hAnsi="宋体" w:cs="宋体"/>
                <w:color w:val="auto"/>
                <w:szCs w:val="21"/>
              </w:rPr>
            </w:pPr>
          </w:p>
        </w:tc>
      </w:tr>
      <w:tr w14:paraId="13D6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12" w:type="dxa"/>
            <w:vMerge w:val="restart"/>
            <w:noWrap w:val="0"/>
            <w:vAlign w:val="center"/>
          </w:tcPr>
          <w:p w14:paraId="3EA3EF2C">
            <w:pPr>
              <w:ind w:firstLine="0" w:firstLineChars="0"/>
              <w:rPr>
                <w:rFonts w:hint="eastAsia" w:ascii="宋体" w:hAnsi="宋体" w:cs="宋体"/>
                <w:color w:val="auto"/>
                <w:szCs w:val="21"/>
              </w:rPr>
            </w:pPr>
            <w:r>
              <w:rPr>
                <w:rFonts w:hint="eastAsia" w:ascii="宋体" w:hAnsi="宋体" w:cs="宋体"/>
                <w:color w:val="auto"/>
                <w:szCs w:val="21"/>
              </w:rPr>
              <w:t>联系方式</w:t>
            </w:r>
          </w:p>
        </w:tc>
        <w:tc>
          <w:tcPr>
            <w:tcW w:w="972" w:type="dxa"/>
            <w:noWrap w:val="0"/>
            <w:vAlign w:val="center"/>
          </w:tcPr>
          <w:p w14:paraId="1A9F00B1">
            <w:pPr>
              <w:ind w:firstLine="0" w:firstLineChars="0"/>
              <w:rPr>
                <w:rFonts w:hint="eastAsia" w:ascii="宋体" w:hAnsi="宋体" w:cs="宋体"/>
                <w:color w:val="auto"/>
                <w:szCs w:val="21"/>
              </w:rPr>
            </w:pPr>
            <w:r>
              <w:rPr>
                <w:rFonts w:hint="eastAsia" w:ascii="宋体" w:hAnsi="宋体" w:cs="宋体"/>
                <w:color w:val="auto"/>
                <w:szCs w:val="21"/>
              </w:rPr>
              <w:t>联系人</w:t>
            </w:r>
          </w:p>
        </w:tc>
        <w:tc>
          <w:tcPr>
            <w:tcW w:w="2709" w:type="dxa"/>
            <w:gridSpan w:val="3"/>
            <w:noWrap w:val="0"/>
            <w:vAlign w:val="center"/>
          </w:tcPr>
          <w:p w14:paraId="391E848E">
            <w:pPr>
              <w:ind w:firstLine="420"/>
              <w:jc w:val="center"/>
              <w:rPr>
                <w:rFonts w:hint="eastAsia" w:ascii="宋体" w:hAnsi="宋体" w:cs="宋体"/>
                <w:color w:val="auto"/>
                <w:szCs w:val="21"/>
              </w:rPr>
            </w:pPr>
          </w:p>
        </w:tc>
        <w:tc>
          <w:tcPr>
            <w:tcW w:w="1353" w:type="dxa"/>
            <w:noWrap w:val="0"/>
            <w:vAlign w:val="center"/>
          </w:tcPr>
          <w:p w14:paraId="144B17DC">
            <w:pPr>
              <w:ind w:firstLine="0" w:firstLineChars="0"/>
              <w:rPr>
                <w:rFonts w:hint="eastAsia" w:ascii="宋体" w:hAnsi="宋体" w:cs="宋体"/>
                <w:color w:val="auto"/>
                <w:szCs w:val="21"/>
              </w:rPr>
            </w:pPr>
            <w:r>
              <w:rPr>
                <w:rFonts w:hint="eastAsia" w:ascii="宋体" w:hAnsi="宋体" w:cs="宋体"/>
                <w:color w:val="auto"/>
                <w:szCs w:val="21"/>
              </w:rPr>
              <w:t>电  话</w:t>
            </w:r>
          </w:p>
        </w:tc>
        <w:tc>
          <w:tcPr>
            <w:tcW w:w="2593" w:type="dxa"/>
            <w:gridSpan w:val="3"/>
            <w:noWrap w:val="0"/>
            <w:vAlign w:val="center"/>
          </w:tcPr>
          <w:p w14:paraId="251E93D3">
            <w:pPr>
              <w:ind w:firstLine="420"/>
              <w:jc w:val="center"/>
              <w:rPr>
                <w:rFonts w:hint="eastAsia" w:ascii="宋体" w:hAnsi="宋体" w:cs="宋体"/>
                <w:color w:val="auto"/>
                <w:szCs w:val="21"/>
              </w:rPr>
            </w:pPr>
          </w:p>
        </w:tc>
      </w:tr>
      <w:tr w14:paraId="0EA6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vMerge w:val="continue"/>
            <w:noWrap w:val="0"/>
            <w:vAlign w:val="center"/>
          </w:tcPr>
          <w:p w14:paraId="43AD74B8">
            <w:pPr>
              <w:ind w:firstLine="420"/>
              <w:jc w:val="center"/>
              <w:rPr>
                <w:rFonts w:hint="eastAsia" w:ascii="宋体" w:hAnsi="宋体" w:cs="宋体"/>
                <w:color w:val="auto"/>
                <w:szCs w:val="21"/>
              </w:rPr>
            </w:pPr>
          </w:p>
        </w:tc>
        <w:tc>
          <w:tcPr>
            <w:tcW w:w="972" w:type="dxa"/>
            <w:noWrap w:val="0"/>
            <w:vAlign w:val="center"/>
          </w:tcPr>
          <w:p w14:paraId="3768C90D">
            <w:pPr>
              <w:ind w:firstLine="0" w:firstLineChars="0"/>
              <w:rPr>
                <w:rFonts w:hint="eastAsia" w:ascii="宋体" w:hAnsi="宋体" w:cs="宋体"/>
                <w:color w:val="auto"/>
                <w:szCs w:val="21"/>
              </w:rPr>
            </w:pPr>
            <w:r>
              <w:rPr>
                <w:rFonts w:hint="eastAsia" w:ascii="宋体" w:hAnsi="宋体" w:cs="宋体"/>
                <w:color w:val="auto"/>
                <w:szCs w:val="21"/>
              </w:rPr>
              <w:t>传  真</w:t>
            </w:r>
          </w:p>
        </w:tc>
        <w:tc>
          <w:tcPr>
            <w:tcW w:w="2709" w:type="dxa"/>
            <w:gridSpan w:val="3"/>
            <w:noWrap w:val="0"/>
            <w:vAlign w:val="center"/>
          </w:tcPr>
          <w:p w14:paraId="46959951">
            <w:pPr>
              <w:ind w:firstLine="420"/>
              <w:jc w:val="center"/>
              <w:rPr>
                <w:rFonts w:hint="eastAsia" w:ascii="宋体" w:hAnsi="宋体" w:cs="宋体"/>
                <w:color w:val="auto"/>
                <w:szCs w:val="21"/>
              </w:rPr>
            </w:pPr>
          </w:p>
        </w:tc>
        <w:tc>
          <w:tcPr>
            <w:tcW w:w="1353" w:type="dxa"/>
            <w:noWrap w:val="0"/>
            <w:vAlign w:val="center"/>
          </w:tcPr>
          <w:p w14:paraId="35790399">
            <w:pPr>
              <w:ind w:firstLine="0" w:firstLineChars="0"/>
              <w:rPr>
                <w:rFonts w:hint="eastAsia" w:ascii="宋体" w:hAnsi="宋体" w:cs="宋体"/>
                <w:color w:val="auto"/>
                <w:szCs w:val="21"/>
              </w:rPr>
            </w:pPr>
            <w:r>
              <w:rPr>
                <w:rFonts w:hint="eastAsia" w:ascii="宋体" w:hAnsi="宋体" w:cs="宋体"/>
                <w:color w:val="auto"/>
                <w:szCs w:val="21"/>
              </w:rPr>
              <w:t>网  址</w:t>
            </w:r>
          </w:p>
        </w:tc>
        <w:tc>
          <w:tcPr>
            <w:tcW w:w="2593" w:type="dxa"/>
            <w:gridSpan w:val="3"/>
            <w:noWrap w:val="0"/>
            <w:vAlign w:val="center"/>
          </w:tcPr>
          <w:p w14:paraId="0107F6FE">
            <w:pPr>
              <w:ind w:firstLine="420"/>
              <w:jc w:val="center"/>
              <w:rPr>
                <w:rFonts w:hint="eastAsia" w:ascii="宋体" w:hAnsi="宋体" w:cs="宋体"/>
                <w:color w:val="auto"/>
                <w:szCs w:val="21"/>
              </w:rPr>
            </w:pPr>
          </w:p>
        </w:tc>
      </w:tr>
      <w:tr w14:paraId="3192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612" w:type="dxa"/>
            <w:noWrap w:val="0"/>
            <w:vAlign w:val="center"/>
          </w:tcPr>
          <w:p w14:paraId="2DB90823">
            <w:pPr>
              <w:ind w:firstLine="0" w:firstLineChars="0"/>
              <w:rPr>
                <w:rFonts w:hint="eastAsia" w:ascii="宋体" w:hAnsi="宋体" w:cs="宋体"/>
                <w:color w:val="auto"/>
                <w:szCs w:val="21"/>
              </w:rPr>
            </w:pPr>
            <w:r>
              <w:rPr>
                <w:rFonts w:hint="eastAsia" w:ascii="宋体" w:hAnsi="宋体" w:cs="宋体"/>
                <w:color w:val="auto"/>
                <w:szCs w:val="21"/>
              </w:rPr>
              <w:t>组织结构</w:t>
            </w:r>
          </w:p>
        </w:tc>
        <w:tc>
          <w:tcPr>
            <w:tcW w:w="7627" w:type="dxa"/>
            <w:gridSpan w:val="8"/>
            <w:noWrap w:val="0"/>
            <w:vAlign w:val="center"/>
          </w:tcPr>
          <w:p w14:paraId="099AF3C0">
            <w:pPr>
              <w:ind w:firstLine="420"/>
              <w:jc w:val="center"/>
              <w:rPr>
                <w:rFonts w:hint="eastAsia" w:ascii="宋体" w:hAnsi="宋体" w:cs="宋体"/>
                <w:color w:val="auto"/>
                <w:szCs w:val="21"/>
              </w:rPr>
            </w:pPr>
          </w:p>
        </w:tc>
      </w:tr>
      <w:tr w14:paraId="28E0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12" w:type="dxa"/>
            <w:noWrap w:val="0"/>
            <w:vAlign w:val="center"/>
          </w:tcPr>
          <w:p w14:paraId="46DC44D6">
            <w:pPr>
              <w:ind w:firstLine="0" w:firstLineChars="0"/>
              <w:rPr>
                <w:rFonts w:hint="eastAsia" w:ascii="宋体" w:hAnsi="宋体" w:cs="宋体"/>
                <w:color w:val="auto"/>
                <w:szCs w:val="21"/>
              </w:rPr>
            </w:pPr>
            <w:r>
              <w:rPr>
                <w:rFonts w:hint="eastAsia" w:ascii="宋体" w:hAnsi="宋体" w:cs="宋体"/>
                <w:color w:val="auto"/>
                <w:szCs w:val="21"/>
              </w:rPr>
              <w:t>法定代表人</w:t>
            </w:r>
          </w:p>
        </w:tc>
        <w:tc>
          <w:tcPr>
            <w:tcW w:w="972" w:type="dxa"/>
            <w:noWrap w:val="0"/>
            <w:vAlign w:val="center"/>
          </w:tcPr>
          <w:p w14:paraId="0612E9BF">
            <w:pPr>
              <w:ind w:firstLine="0" w:firstLineChars="0"/>
              <w:rPr>
                <w:rFonts w:hint="eastAsia" w:ascii="宋体" w:hAnsi="宋体" w:cs="宋体"/>
                <w:color w:val="auto"/>
                <w:szCs w:val="21"/>
              </w:rPr>
            </w:pPr>
            <w:r>
              <w:rPr>
                <w:rFonts w:hint="eastAsia" w:ascii="宋体" w:hAnsi="宋体" w:cs="宋体"/>
                <w:color w:val="auto"/>
                <w:szCs w:val="21"/>
              </w:rPr>
              <w:t>姓名</w:t>
            </w:r>
          </w:p>
        </w:tc>
        <w:tc>
          <w:tcPr>
            <w:tcW w:w="1107" w:type="dxa"/>
            <w:noWrap w:val="0"/>
            <w:vAlign w:val="center"/>
          </w:tcPr>
          <w:p w14:paraId="129CBF3B">
            <w:pPr>
              <w:ind w:firstLine="420"/>
              <w:jc w:val="center"/>
              <w:rPr>
                <w:rFonts w:hint="eastAsia" w:ascii="宋体" w:hAnsi="宋体" w:cs="宋体"/>
                <w:color w:val="auto"/>
                <w:szCs w:val="21"/>
              </w:rPr>
            </w:pPr>
          </w:p>
        </w:tc>
        <w:tc>
          <w:tcPr>
            <w:tcW w:w="1386" w:type="dxa"/>
            <w:noWrap w:val="0"/>
            <w:vAlign w:val="center"/>
          </w:tcPr>
          <w:p w14:paraId="74B0F258">
            <w:pPr>
              <w:ind w:firstLine="0" w:firstLineChars="0"/>
              <w:rPr>
                <w:rFonts w:hint="eastAsia" w:ascii="宋体" w:hAnsi="宋体" w:cs="宋体"/>
                <w:color w:val="auto"/>
                <w:szCs w:val="21"/>
              </w:rPr>
            </w:pPr>
            <w:r>
              <w:rPr>
                <w:rFonts w:hint="eastAsia" w:ascii="宋体" w:hAnsi="宋体" w:cs="宋体"/>
                <w:color w:val="auto"/>
                <w:szCs w:val="21"/>
              </w:rPr>
              <w:t>技术职称</w:t>
            </w:r>
          </w:p>
        </w:tc>
        <w:tc>
          <w:tcPr>
            <w:tcW w:w="1848" w:type="dxa"/>
            <w:gridSpan w:val="3"/>
            <w:noWrap w:val="0"/>
            <w:vAlign w:val="center"/>
          </w:tcPr>
          <w:p w14:paraId="0CEA724E">
            <w:pPr>
              <w:ind w:firstLine="420"/>
              <w:jc w:val="center"/>
              <w:rPr>
                <w:rFonts w:hint="eastAsia" w:ascii="宋体" w:hAnsi="宋体" w:cs="宋体"/>
                <w:color w:val="auto"/>
                <w:szCs w:val="21"/>
              </w:rPr>
            </w:pPr>
          </w:p>
        </w:tc>
        <w:tc>
          <w:tcPr>
            <w:tcW w:w="768" w:type="dxa"/>
            <w:noWrap w:val="0"/>
            <w:vAlign w:val="center"/>
          </w:tcPr>
          <w:p w14:paraId="4A4FA1A2">
            <w:pPr>
              <w:ind w:firstLine="0" w:firstLineChars="0"/>
              <w:rPr>
                <w:rFonts w:hint="eastAsia" w:ascii="宋体" w:hAnsi="宋体" w:cs="宋体"/>
                <w:color w:val="auto"/>
                <w:szCs w:val="21"/>
              </w:rPr>
            </w:pPr>
            <w:r>
              <w:rPr>
                <w:rFonts w:hint="eastAsia" w:ascii="宋体" w:hAnsi="宋体" w:cs="宋体"/>
                <w:color w:val="auto"/>
                <w:szCs w:val="21"/>
              </w:rPr>
              <w:t>电话</w:t>
            </w:r>
          </w:p>
        </w:tc>
        <w:tc>
          <w:tcPr>
            <w:tcW w:w="1546" w:type="dxa"/>
            <w:noWrap w:val="0"/>
            <w:vAlign w:val="center"/>
          </w:tcPr>
          <w:p w14:paraId="173DFF54">
            <w:pPr>
              <w:ind w:firstLine="420"/>
              <w:jc w:val="center"/>
              <w:rPr>
                <w:rFonts w:hint="eastAsia" w:ascii="宋体" w:hAnsi="宋体" w:cs="宋体"/>
                <w:color w:val="auto"/>
                <w:szCs w:val="21"/>
              </w:rPr>
            </w:pPr>
          </w:p>
        </w:tc>
      </w:tr>
      <w:tr w14:paraId="29F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noWrap w:val="0"/>
            <w:vAlign w:val="center"/>
          </w:tcPr>
          <w:p w14:paraId="0200D0C0">
            <w:pPr>
              <w:ind w:firstLine="0" w:firstLineChars="0"/>
              <w:rPr>
                <w:rFonts w:hint="eastAsia" w:ascii="宋体" w:hAnsi="宋体" w:cs="宋体"/>
                <w:color w:val="auto"/>
                <w:szCs w:val="21"/>
              </w:rPr>
            </w:pPr>
            <w:r>
              <w:rPr>
                <w:rFonts w:hint="eastAsia" w:ascii="宋体" w:hAnsi="宋体" w:cs="宋体"/>
                <w:color w:val="auto"/>
                <w:szCs w:val="21"/>
              </w:rPr>
              <w:t>项目负责人</w:t>
            </w:r>
          </w:p>
        </w:tc>
        <w:tc>
          <w:tcPr>
            <w:tcW w:w="972" w:type="dxa"/>
            <w:noWrap w:val="0"/>
            <w:vAlign w:val="center"/>
          </w:tcPr>
          <w:p w14:paraId="26945820">
            <w:pPr>
              <w:ind w:firstLine="0" w:firstLineChars="0"/>
              <w:rPr>
                <w:rFonts w:hint="eastAsia" w:ascii="宋体" w:hAnsi="宋体" w:cs="宋体"/>
                <w:color w:val="auto"/>
                <w:szCs w:val="21"/>
              </w:rPr>
            </w:pPr>
            <w:r>
              <w:rPr>
                <w:rFonts w:hint="eastAsia" w:ascii="宋体" w:hAnsi="宋体" w:cs="宋体"/>
                <w:color w:val="auto"/>
                <w:szCs w:val="21"/>
              </w:rPr>
              <w:t>姓名</w:t>
            </w:r>
          </w:p>
        </w:tc>
        <w:tc>
          <w:tcPr>
            <w:tcW w:w="1107" w:type="dxa"/>
            <w:noWrap w:val="0"/>
            <w:vAlign w:val="center"/>
          </w:tcPr>
          <w:p w14:paraId="4019C4DF">
            <w:pPr>
              <w:ind w:firstLine="420"/>
              <w:jc w:val="center"/>
              <w:rPr>
                <w:rFonts w:hint="eastAsia" w:ascii="宋体" w:hAnsi="宋体" w:cs="宋体"/>
                <w:color w:val="auto"/>
                <w:szCs w:val="21"/>
              </w:rPr>
            </w:pPr>
          </w:p>
        </w:tc>
        <w:tc>
          <w:tcPr>
            <w:tcW w:w="1386" w:type="dxa"/>
            <w:noWrap w:val="0"/>
            <w:vAlign w:val="center"/>
          </w:tcPr>
          <w:p w14:paraId="57894C3A">
            <w:pPr>
              <w:ind w:firstLine="0" w:firstLineChars="0"/>
              <w:rPr>
                <w:rFonts w:hint="eastAsia" w:ascii="宋体" w:hAnsi="宋体" w:cs="宋体"/>
                <w:color w:val="auto"/>
                <w:szCs w:val="21"/>
              </w:rPr>
            </w:pPr>
            <w:r>
              <w:rPr>
                <w:rFonts w:hint="eastAsia" w:ascii="宋体" w:hAnsi="宋体" w:cs="宋体"/>
                <w:color w:val="auto"/>
                <w:szCs w:val="21"/>
              </w:rPr>
              <w:t>技术职称</w:t>
            </w:r>
          </w:p>
        </w:tc>
        <w:tc>
          <w:tcPr>
            <w:tcW w:w="1848" w:type="dxa"/>
            <w:gridSpan w:val="3"/>
            <w:noWrap w:val="0"/>
            <w:vAlign w:val="center"/>
          </w:tcPr>
          <w:p w14:paraId="0CBF4C8E">
            <w:pPr>
              <w:ind w:firstLine="420"/>
              <w:jc w:val="center"/>
              <w:rPr>
                <w:rFonts w:hint="eastAsia" w:ascii="宋体" w:hAnsi="宋体" w:cs="宋体"/>
                <w:color w:val="auto"/>
                <w:szCs w:val="21"/>
              </w:rPr>
            </w:pPr>
          </w:p>
        </w:tc>
        <w:tc>
          <w:tcPr>
            <w:tcW w:w="768" w:type="dxa"/>
            <w:noWrap w:val="0"/>
            <w:vAlign w:val="center"/>
          </w:tcPr>
          <w:p w14:paraId="44AB891E">
            <w:pPr>
              <w:ind w:firstLine="0" w:firstLineChars="0"/>
              <w:rPr>
                <w:rFonts w:hint="eastAsia" w:ascii="宋体" w:hAnsi="宋体" w:cs="宋体"/>
                <w:color w:val="auto"/>
                <w:szCs w:val="21"/>
              </w:rPr>
            </w:pPr>
            <w:r>
              <w:rPr>
                <w:rFonts w:hint="eastAsia" w:ascii="宋体" w:hAnsi="宋体" w:cs="宋体"/>
                <w:color w:val="auto"/>
                <w:szCs w:val="21"/>
              </w:rPr>
              <w:t>电话</w:t>
            </w:r>
          </w:p>
        </w:tc>
        <w:tc>
          <w:tcPr>
            <w:tcW w:w="1546" w:type="dxa"/>
            <w:noWrap w:val="0"/>
            <w:vAlign w:val="center"/>
          </w:tcPr>
          <w:p w14:paraId="5FEE1423">
            <w:pPr>
              <w:ind w:firstLine="420"/>
              <w:jc w:val="center"/>
              <w:rPr>
                <w:rFonts w:hint="eastAsia" w:ascii="宋体" w:hAnsi="宋体" w:cs="宋体"/>
                <w:color w:val="auto"/>
                <w:szCs w:val="21"/>
              </w:rPr>
            </w:pPr>
          </w:p>
        </w:tc>
      </w:tr>
      <w:tr w14:paraId="1F8E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612" w:type="dxa"/>
            <w:noWrap w:val="0"/>
            <w:vAlign w:val="center"/>
          </w:tcPr>
          <w:p w14:paraId="02E5985B">
            <w:pPr>
              <w:ind w:firstLine="0" w:firstLineChars="0"/>
              <w:rPr>
                <w:rFonts w:hint="eastAsia" w:ascii="宋体" w:hAnsi="宋体" w:cs="宋体"/>
                <w:color w:val="auto"/>
                <w:szCs w:val="21"/>
              </w:rPr>
            </w:pPr>
            <w:r>
              <w:rPr>
                <w:rFonts w:hint="eastAsia" w:ascii="宋体" w:hAnsi="宋体" w:cs="宋体"/>
                <w:color w:val="auto"/>
                <w:szCs w:val="21"/>
              </w:rPr>
              <w:t>成立时间</w:t>
            </w:r>
          </w:p>
        </w:tc>
        <w:tc>
          <w:tcPr>
            <w:tcW w:w="2079" w:type="dxa"/>
            <w:gridSpan w:val="2"/>
            <w:noWrap w:val="0"/>
            <w:vAlign w:val="center"/>
          </w:tcPr>
          <w:p w14:paraId="6AF16A77">
            <w:pPr>
              <w:ind w:firstLine="420"/>
              <w:jc w:val="center"/>
              <w:rPr>
                <w:rFonts w:hint="eastAsia" w:ascii="宋体" w:hAnsi="宋体" w:cs="宋体"/>
                <w:color w:val="auto"/>
                <w:szCs w:val="21"/>
              </w:rPr>
            </w:pPr>
          </w:p>
        </w:tc>
        <w:tc>
          <w:tcPr>
            <w:tcW w:w="5548" w:type="dxa"/>
            <w:gridSpan w:val="6"/>
            <w:noWrap w:val="0"/>
            <w:vAlign w:val="center"/>
          </w:tcPr>
          <w:p w14:paraId="6FB9C8DB">
            <w:pPr>
              <w:ind w:firstLine="420"/>
              <w:jc w:val="left"/>
              <w:rPr>
                <w:rFonts w:hint="eastAsia" w:ascii="宋体" w:hAnsi="宋体" w:cs="宋体"/>
                <w:color w:val="auto"/>
                <w:szCs w:val="21"/>
              </w:rPr>
            </w:pPr>
            <w:r>
              <w:rPr>
                <w:rFonts w:hint="eastAsia" w:ascii="宋体" w:hAnsi="宋体" w:cs="宋体"/>
                <w:color w:val="auto"/>
                <w:szCs w:val="21"/>
              </w:rPr>
              <w:t>员工总人数：</w:t>
            </w:r>
          </w:p>
        </w:tc>
      </w:tr>
      <w:tr w14:paraId="2439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612" w:type="dxa"/>
            <w:noWrap w:val="0"/>
            <w:vAlign w:val="center"/>
          </w:tcPr>
          <w:p w14:paraId="476BB835">
            <w:pPr>
              <w:ind w:firstLine="0" w:firstLineChars="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开户行名称</w:t>
            </w:r>
          </w:p>
        </w:tc>
        <w:tc>
          <w:tcPr>
            <w:tcW w:w="7627" w:type="dxa"/>
            <w:gridSpan w:val="8"/>
            <w:noWrap w:val="0"/>
            <w:vAlign w:val="center"/>
          </w:tcPr>
          <w:p w14:paraId="74455FB9">
            <w:pPr>
              <w:ind w:firstLine="420"/>
              <w:jc w:val="center"/>
              <w:rPr>
                <w:rFonts w:hint="eastAsia" w:ascii="宋体" w:hAnsi="宋体" w:cs="宋体"/>
                <w:color w:val="auto"/>
                <w:szCs w:val="21"/>
              </w:rPr>
            </w:pPr>
          </w:p>
        </w:tc>
      </w:tr>
      <w:tr w14:paraId="6108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612" w:type="dxa"/>
            <w:noWrap w:val="0"/>
            <w:vAlign w:val="center"/>
          </w:tcPr>
          <w:p w14:paraId="73F1B24B">
            <w:pPr>
              <w:ind w:firstLine="0" w:firstLineChars="0"/>
              <w:rPr>
                <w:rFonts w:hint="default" w:ascii="宋体" w:hAnsi="宋体" w:cs="宋体"/>
                <w:color w:val="auto"/>
                <w:szCs w:val="21"/>
                <w:lang w:val="en-US" w:eastAsia="zh-CN"/>
              </w:rPr>
            </w:pPr>
            <w:r>
              <w:rPr>
                <w:rFonts w:hint="eastAsia" w:ascii="宋体" w:hAnsi="宋体" w:cs="宋体"/>
                <w:color w:val="auto"/>
                <w:szCs w:val="21"/>
                <w:lang w:val="en-US" w:eastAsia="zh-CN"/>
              </w:rPr>
              <w:t>开户行账号</w:t>
            </w:r>
          </w:p>
        </w:tc>
        <w:tc>
          <w:tcPr>
            <w:tcW w:w="7627" w:type="dxa"/>
            <w:gridSpan w:val="8"/>
            <w:noWrap w:val="0"/>
            <w:vAlign w:val="center"/>
          </w:tcPr>
          <w:p w14:paraId="3974E454">
            <w:pPr>
              <w:ind w:firstLine="420"/>
              <w:jc w:val="center"/>
              <w:rPr>
                <w:rFonts w:hint="eastAsia" w:ascii="宋体" w:hAnsi="宋体" w:cs="宋体"/>
                <w:color w:val="auto"/>
                <w:szCs w:val="21"/>
              </w:rPr>
            </w:pPr>
          </w:p>
        </w:tc>
      </w:tr>
      <w:tr w14:paraId="6A57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1612" w:type="dxa"/>
            <w:noWrap w:val="0"/>
            <w:vAlign w:val="center"/>
          </w:tcPr>
          <w:p w14:paraId="21C05984">
            <w:pPr>
              <w:ind w:firstLine="0" w:firstLineChars="0"/>
              <w:rPr>
                <w:rFonts w:hint="eastAsia" w:ascii="宋体" w:hAnsi="宋体" w:cs="宋体"/>
                <w:color w:val="auto"/>
                <w:szCs w:val="21"/>
              </w:rPr>
            </w:pPr>
            <w:r>
              <w:rPr>
                <w:rFonts w:hint="eastAsia" w:ascii="宋体" w:hAnsi="宋体" w:cs="宋体"/>
                <w:color w:val="auto"/>
                <w:szCs w:val="21"/>
              </w:rPr>
              <w:t>经营范围</w:t>
            </w:r>
          </w:p>
        </w:tc>
        <w:tc>
          <w:tcPr>
            <w:tcW w:w="7627" w:type="dxa"/>
            <w:gridSpan w:val="8"/>
            <w:noWrap w:val="0"/>
            <w:vAlign w:val="center"/>
          </w:tcPr>
          <w:p w14:paraId="5F1B6975">
            <w:pPr>
              <w:ind w:firstLine="420"/>
              <w:jc w:val="center"/>
              <w:rPr>
                <w:rFonts w:hint="eastAsia" w:ascii="宋体" w:hAnsi="宋体" w:cs="宋体"/>
                <w:color w:val="auto"/>
                <w:szCs w:val="21"/>
              </w:rPr>
            </w:pPr>
          </w:p>
        </w:tc>
      </w:tr>
      <w:tr w14:paraId="16D2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612" w:type="dxa"/>
            <w:noWrap w:val="0"/>
            <w:vAlign w:val="center"/>
          </w:tcPr>
          <w:p w14:paraId="1D7F6704">
            <w:pPr>
              <w:ind w:firstLine="0" w:firstLineChars="0"/>
              <w:rPr>
                <w:rFonts w:hint="eastAsia" w:ascii="宋体" w:hAnsi="宋体" w:cs="宋体"/>
                <w:color w:val="auto"/>
                <w:szCs w:val="21"/>
              </w:rPr>
            </w:pPr>
            <w:r>
              <w:rPr>
                <w:rFonts w:hint="eastAsia" w:ascii="宋体" w:hAnsi="宋体" w:cs="宋体"/>
                <w:color w:val="auto"/>
                <w:szCs w:val="21"/>
              </w:rPr>
              <w:t>备注</w:t>
            </w:r>
          </w:p>
        </w:tc>
        <w:tc>
          <w:tcPr>
            <w:tcW w:w="7627" w:type="dxa"/>
            <w:gridSpan w:val="8"/>
            <w:noWrap w:val="0"/>
            <w:vAlign w:val="center"/>
          </w:tcPr>
          <w:p w14:paraId="406015E6">
            <w:pPr>
              <w:ind w:firstLine="420"/>
              <w:jc w:val="center"/>
              <w:rPr>
                <w:rFonts w:hint="eastAsia" w:ascii="宋体" w:hAnsi="宋体" w:cs="宋体"/>
                <w:color w:val="auto"/>
                <w:szCs w:val="21"/>
              </w:rPr>
            </w:pPr>
          </w:p>
        </w:tc>
      </w:tr>
    </w:tbl>
    <w:p w14:paraId="46057ABD">
      <w:pPr>
        <w:bidi w:val="0"/>
        <w:spacing w:line="400" w:lineRule="exact"/>
        <w:rPr>
          <w:rFonts w:hint="eastAsia" w:ascii="宋体" w:hAnsi="宋体" w:eastAsia="宋体" w:cs="宋体"/>
          <w:color w:val="auto"/>
          <w:sz w:val="21"/>
          <w:szCs w:val="21"/>
          <w:highlight w:val="none"/>
        </w:rPr>
      </w:pPr>
    </w:p>
    <w:p w14:paraId="14C147AB">
      <w:pPr>
        <w:bidi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投标人应根据</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资格</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在本表后附</w:t>
      </w:r>
      <w:r>
        <w:rPr>
          <w:rFonts w:hint="eastAsia" w:ascii="宋体" w:hAnsi="宋体" w:eastAsia="宋体" w:cs="宋体"/>
          <w:b/>
          <w:bCs/>
          <w:color w:val="auto"/>
          <w:kern w:val="0"/>
          <w:sz w:val="21"/>
          <w:szCs w:val="21"/>
          <w:highlight w:val="none"/>
          <w:lang w:val="en-US" w:eastAsia="zh-CN" w:bidi="ar"/>
        </w:rPr>
        <w:t>资格要求及承诺相关证明材料</w:t>
      </w:r>
      <w:r>
        <w:rPr>
          <w:rFonts w:hint="eastAsia" w:ascii="宋体" w:hAnsi="宋体" w:eastAsia="宋体" w:cs="宋体"/>
          <w:color w:val="auto"/>
          <w:sz w:val="21"/>
          <w:szCs w:val="21"/>
          <w:highlight w:val="none"/>
        </w:rPr>
        <w:t>。</w:t>
      </w:r>
    </w:p>
    <w:p w14:paraId="2016C2C6">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 xml:space="preserve"> 2.本项目的特定资格要求（如有）：需提供相应的证明材料。</w:t>
      </w:r>
    </w:p>
    <w:p w14:paraId="76ED6A5A">
      <w:pPr>
        <w:spacing w:line="360" w:lineRule="auto"/>
        <w:rPr>
          <w:rFonts w:hint="eastAsia" w:ascii="宋体" w:hAnsi="宋体" w:eastAsia="宋体" w:cs="宋体"/>
          <w:b/>
          <w:bCs/>
          <w:color w:val="auto"/>
          <w:szCs w:val="21"/>
          <w:highlight w:val="none"/>
        </w:rPr>
      </w:pPr>
    </w:p>
    <w:p w14:paraId="0DF9CEC7">
      <w:pPr>
        <w:spacing w:line="360" w:lineRule="auto"/>
        <w:rPr>
          <w:rFonts w:hint="eastAsia" w:ascii="宋体" w:hAnsi="宋体" w:eastAsia="宋体" w:cs="宋体"/>
          <w:b/>
          <w:bCs/>
          <w:color w:val="auto"/>
          <w:szCs w:val="21"/>
          <w:highlight w:val="none"/>
        </w:rPr>
      </w:pPr>
    </w:p>
    <w:p w14:paraId="1328BD16">
      <w:pPr>
        <w:spacing w:line="360"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信用承诺函</w:t>
      </w:r>
    </w:p>
    <w:p w14:paraId="0B6CFCEC">
      <w:pPr>
        <w:widowControl/>
        <w:spacing w:line="400" w:lineRule="exact"/>
        <w:ind w:firstLine="0" w:firstLineChars="0"/>
        <w:jc w:val="center"/>
        <w:rPr>
          <w:rFonts w:hint="eastAsia" w:ascii="宋体" w:hAnsi="宋体" w:eastAsia="宋体" w:cs="宋体"/>
          <w:kern w:val="0"/>
          <w:sz w:val="21"/>
          <w:szCs w:val="21"/>
          <w:highlight w:val="none"/>
          <w:lang w:bidi="ar"/>
        </w:rPr>
      </w:pPr>
      <w:r>
        <w:rPr>
          <w:rFonts w:hint="eastAsia" w:ascii="宋体" w:hAnsi="宋体" w:eastAsia="宋体" w:cs="宋体"/>
          <w:b/>
          <w:bCs/>
          <w:kern w:val="0"/>
          <w:sz w:val="21"/>
          <w:szCs w:val="21"/>
          <w:highlight w:val="none"/>
          <w:lang w:bidi="ar"/>
        </w:rPr>
        <w:t>信阳市政府采购供应商信用承诺函</w:t>
      </w:r>
    </w:p>
    <w:p w14:paraId="6CEF10AA">
      <w:pPr>
        <w:widowControl/>
        <w:spacing w:line="400" w:lineRule="exact"/>
        <w:ind w:firstLine="42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致</w:t>
      </w:r>
      <w:r>
        <w:rPr>
          <w:rFonts w:hint="eastAsia" w:ascii="宋体" w:hAnsi="宋体" w:eastAsia="宋体" w:cs="宋体"/>
          <w:kern w:val="0"/>
          <w:sz w:val="21"/>
          <w:szCs w:val="21"/>
          <w:highlight w:val="none"/>
          <w:u w:val="single"/>
          <w:lang w:bidi="ar"/>
        </w:rPr>
        <w:t xml:space="preserve">（采购人或采购代理机构）：         </w:t>
      </w:r>
      <w:r>
        <w:rPr>
          <w:rFonts w:hint="eastAsia" w:ascii="宋体" w:hAnsi="宋体" w:eastAsia="宋体" w:cs="宋体"/>
          <w:kern w:val="0"/>
          <w:sz w:val="21"/>
          <w:szCs w:val="21"/>
          <w:highlight w:val="none"/>
          <w:lang w:bidi="ar"/>
        </w:rPr>
        <w:t xml:space="preserve">      </w:t>
      </w:r>
    </w:p>
    <w:p w14:paraId="26C3D525">
      <w:pPr>
        <w:widowControl/>
        <w:spacing w:line="400" w:lineRule="exact"/>
        <w:ind w:firstLine="420"/>
        <w:jc w:val="left"/>
        <w:rPr>
          <w:rFonts w:hint="eastAsia" w:ascii="宋体" w:hAnsi="宋体" w:eastAsia="宋体" w:cs="宋体"/>
          <w:kern w:val="0"/>
          <w:sz w:val="21"/>
          <w:szCs w:val="21"/>
          <w:highlight w:val="none"/>
          <w:u w:val="single"/>
          <w:lang w:bidi="ar"/>
        </w:rPr>
      </w:pPr>
      <w:r>
        <w:rPr>
          <w:rFonts w:hint="eastAsia" w:ascii="宋体" w:hAnsi="宋体" w:eastAsia="宋体" w:cs="宋体"/>
          <w:kern w:val="0"/>
          <w:sz w:val="21"/>
          <w:szCs w:val="21"/>
          <w:highlight w:val="none"/>
          <w:lang w:bidi="ar"/>
        </w:rPr>
        <w:t>单位名称（自然人姓名）</w:t>
      </w:r>
      <w:r>
        <w:rPr>
          <w:rFonts w:hint="eastAsia" w:ascii="宋体" w:hAnsi="宋体" w:eastAsia="宋体" w:cs="宋体"/>
          <w:kern w:val="0"/>
          <w:sz w:val="21"/>
          <w:szCs w:val="21"/>
          <w:highlight w:val="none"/>
          <w:u w:val="single"/>
          <w:lang w:bidi="ar"/>
        </w:rPr>
        <w:t xml:space="preserve">：  </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lang w:bidi="ar"/>
        </w:rPr>
        <w:t xml:space="preserve"> </w:t>
      </w:r>
    </w:p>
    <w:p w14:paraId="432A8EA2">
      <w:pPr>
        <w:widowControl/>
        <w:spacing w:line="400" w:lineRule="exact"/>
        <w:ind w:firstLine="420"/>
        <w:jc w:val="left"/>
        <w:rPr>
          <w:rFonts w:hint="eastAsia" w:ascii="宋体" w:hAnsi="宋体" w:eastAsia="宋体" w:cs="宋体"/>
          <w:kern w:val="0"/>
          <w:sz w:val="21"/>
          <w:szCs w:val="21"/>
          <w:highlight w:val="none"/>
          <w:u w:val="single"/>
          <w:lang w:bidi="ar"/>
        </w:rPr>
      </w:pPr>
      <w:r>
        <w:rPr>
          <w:rFonts w:hint="eastAsia" w:ascii="宋体" w:hAnsi="宋体" w:eastAsia="宋体" w:cs="宋体"/>
          <w:kern w:val="0"/>
          <w:sz w:val="21"/>
          <w:szCs w:val="21"/>
          <w:highlight w:val="none"/>
          <w:lang w:bidi="ar"/>
        </w:rPr>
        <w:t>统一社会信用代码（身份证号码）</w:t>
      </w:r>
      <w:r>
        <w:rPr>
          <w:rFonts w:hint="eastAsia" w:ascii="宋体" w:hAnsi="宋体" w:eastAsia="宋体" w:cs="宋体"/>
          <w:kern w:val="0"/>
          <w:sz w:val="21"/>
          <w:szCs w:val="21"/>
          <w:highlight w:val="none"/>
          <w:u w:val="single"/>
          <w:lang w:bidi="ar"/>
        </w:rPr>
        <w:t>：</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lang w:bidi="ar"/>
        </w:rPr>
        <w:t xml:space="preserve"> </w:t>
      </w:r>
    </w:p>
    <w:p w14:paraId="6951D2EC">
      <w:pPr>
        <w:widowControl/>
        <w:spacing w:line="400" w:lineRule="exact"/>
        <w:ind w:firstLine="420"/>
        <w:jc w:val="left"/>
        <w:rPr>
          <w:rFonts w:hint="eastAsia" w:ascii="宋体" w:hAnsi="宋体" w:eastAsia="宋体" w:cs="宋体"/>
          <w:kern w:val="0"/>
          <w:sz w:val="21"/>
          <w:szCs w:val="21"/>
          <w:highlight w:val="none"/>
          <w:u w:val="single"/>
          <w:lang w:bidi="ar"/>
        </w:rPr>
      </w:pPr>
      <w:r>
        <w:rPr>
          <w:rFonts w:hint="eastAsia" w:ascii="宋体" w:hAnsi="宋体" w:eastAsia="宋体" w:cs="宋体"/>
          <w:kern w:val="0"/>
          <w:sz w:val="21"/>
          <w:szCs w:val="21"/>
          <w:highlight w:val="none"/>
          <w:lang w:bidi="ar"/>
        </w:rPr>
        <w:t>法定代表人（负责人）</w:t>
      </w:r>
      <w:r>
        <w:rPr>
          <w:rFonts w:hint="eastAsia" w:ascii="宋体" w:hAnsi="宋体" w:eastAsia="宋体" w:cs="宋体"/>
          <w:kern w:val="0"/>
          <w:sz w:val="21"/>
          <w:szCs w:val="21"/>
          <w:highlight w:val="none"/>
          <w:u w:val="single"/>
          <w:lang w:bidi="ar"/>
        </w:rPr>
        <w:t xml:space="preserve">： </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u w:val="single"/>
          <w:lang w:bidi="ar"/>
        </w:rPr>
        <w:t xml:space="preserve">  </w:t>
      </w:r>
    </w:p>
    <w:p w14:paraId="78E7A65B">
      <w:pPr>
        <w:widowControl/>
        <w:spacing w:line="400" w:lineRule="exact"/>
        <w:ind w:firstLine="420"/>
        <w:jc w:val="left"/>
        <w:rPr>
          <w:rFonts w:hint="eastAsia" w:ascii="宋体" w:hAnsi="宋体" w:eastAsia="宋体" w:cs="宋体"/>
          <w:kern w:val="0"/>
          <w:sz w:val="21"/>
          <w:szCs w:val="21"/>
          <w:highlight w:val="none"/>
          <w:u w:val="single"/>
          <w:lang w:bidi="ar"/>
        </w:rPr>
      </w:pPr>
      <w:r>
        <w:rPr>
          <w:rFonts w:hint="eastAsia" w:ascii="宋体" w:hAnsi="宋体" w:eastAsia="宋体" w:cs="宋体"/>
          <w:kern w:val="0"/>
          <w:sz w:val="21"/>
          <w:szCs w:val="21"/>
          <w:highlight w:val="none"/>
          <w:lang w:bidi="ar"/>
        </w:rPr>
        <w:t>联系地址和电话</w:t>
      </w:r>
      <w:r>
        <w:rPr>
          <w:rFonts w:hint="eastAsia" w:ascii="宋体" w:hAnsi="宋体" w:eastAsia="宋体" w:cs="宋体"/>
          <w:kern w:val="0"/>
          <w:sz w:val="21"/>
          <w:szCs w:val="21"/>
          <w:highlight w:val="none"/>
          <w:u w:val="single"/>
          <w:lang w:bidi="ar"/>
        </w:rPr>
        <w:t xml:space="preserve">：              </w:t>
      </w:r>
    </w:p>
    <w:p w14:paraId="621EAEFD">
      <w:pPr>
        <w:widowControl/>
        <w:spacing w:line="400" w:lineRule="exact"/>
        <w:ind w:firstLine="42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为维护公平、公正、公开的政府采购市场秩序，树立诚实守信的政府采购供应商形象，我单位（本人）自愿作出以下承诺：</w:t>
      </w:r>
    </w:p>
    <w:p w14:paraId="12C28AE7">
      <w:pPr>
        <w:widowControl/>
        <w:numPr>
          <w:ilvl w:val="0"/>
          <w:numId w:val="5"/>
        </w:numPr>
        <w:spacing w:line="400" w:lineRule="exact"/>
        <w:ind w:firstLine="42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39ED2B7">
      <w:pPr>
        <w:widowControl/>
        <w:numPr>
          <w:ilvl w:val="0"/>
          <w:numId w:val="6"/>
        </w:numPr>
        <w:spacing w:line="400" w:lineRule="exact"/>
        <w:ind w:left="0" w:firstLineChars="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具有独立承担民事责任的能力；</w:t>
      </w:r>
    </w:p>
    <w:p w14:paraId="254A3814">
      <w:pPr>
        <w:widowControl/>
        <w:numPr>
          <w:ilvl w:val="0"/>
          <w:numId w:val="6"/>
        </w:numPr>
        <w:spacing w:line="400" w:lineRule="exact"/>
        <w:ind w:left="0" w:firstLineChars="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 xml:space="preserve">具有良好的商业信誉和健全的财务会计制度； </w:t>
      </w:r>
    </w:p>
    <w:p w14:paraId="0998DDAC">
      <w:pPr>
        <w:widowControl/>
        <w:numPr>
          <w:ilvl w:val="0"/>
          <w:numId w:val="6"/>
        </w:numPr>
        <w:spacing w:line="400" w:lineRule="exact"/>
        <w:ind w:left="0" w:firstLineChars="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具有履行合同所必需的设备和专业技术能力；</w:t>
      </w:r>
    </w:p>
    <w:p w14:paraId="53434438">
      <w:pPr>
        <w:widowControl/>
        <w:numPr>
          <w:ilvl w:val="0"/>
          <w:numId w:val="6"/>
        </w:numPr>
        <w:spacing w:line="400" w:lineRule="exact"/>
        <w:ind w:left="0" w:firstLineChars="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 xml:space="preserve">有依法缴纳税收和社会保障资金的良好记录； </w:t>
      </w:r>
    </w:p>
    <w:p w14:paraId="7FC7F696">
      <w:pPr>
        <w:widowControl/>
        <w:numPr>
          <w:ilvl w:val="0"/>
          <w:numId w:val="6"/>
        </w:numPr>
        <w:spacing w:line="400" w:lineRule="exact"/>
        <w:ind w:left="0" w:firstLineChars="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 xml:space="preserve">参加政府采购活动前三年内，在经营活动中没有重大违法记录； </w:t>
      </w:r>
    </w:p>
    <w:p w14:paraId="6C4A04BB">
      <w:pPr>
        <w:widowControl/>
        <w:numPr>
          <w:ilvl w:val="0"/>
          <w:numId w:val="6"/>
        </w:numPr>
        <w:spacing w:line="400" w:lineRule="exact"/>
        <w:ind w:left="0" w:firstLineChars="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未被列入经营异常名录或者严重违法失信名单、失信被执行人、税收违法黑名单、政府采购严重违法失信行为记录名单；</w:t>
      </w:r>
    </w:p>
    <w:p w14:paraId="29835635">
      <w:pPr>
        <w:widowControl/>
        <w:numPr>
          <w:ilvl w:val="0"/>
          <w:numId w:val="6"/>
        </w:numPr>
        <w:spacing w:line="400" w:lineRule="exact"/>
        <w:ind w:left="0" w:firstLineChars="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 xml:space="preserve">未被相关监管部门作出行政处罚且尚在处罚有效期内； </w:t>
      </w:r>
    </w:p>
    <w:p w14:paraId="013DE2C4">
      <w:pPr>
        <w:widowControl/>
        <w:numPr>
          <w:ilvl w:val="0"/>
          <w:numId w:val="6"/>
        </w:numPr>
        <w:spacing w:line="400" w:lineRule="exact"/>
        <w:ind w:left="0" w:firstLineChars="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 xml:space="preserve">未曾做出虚假采购承诺； </w:t>
      </w:r>
    </w:p>
    <w:p w14:paraId="032C2B3A">
      <w:pPr>
        <w:widowControl/>
        <w:spacing w:line="400" w:lineRule="exact"/>
        <w:ind w:firstLine="0" w:firstLineChars="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（九）符合法律、行政法规规定的其他条件。</w:t>
      </w:r>
    </w:p>
    <w:p w14:paraId="4C56D38F">
      <w:pPr>
        <w:widowControl/>
        <w:numPr>
          <w:ilvl w:val="0"/>
          <w:numId w:val="5"/>
        </w:numPr>
        <w:spacing w:line="400" w:lineRule="exact"/>
        <w:ind w:firstLine="42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7EA6534F">
      <w:pPr>
        <w:pStyle w:val="12"/>
        <w:spacing w:line="420" w:lineRule="exact"/>
        <w:ind w:left="1"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供应商：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（单位电子签章）</w:t>
      </w:r>
    </w:p>
    <w:p w14:paraId="3EB6613E">
      <w:pPr>
        <w:pStyle w:val="12"/>
        <w:spacing w:line="420" w:lineRule="exact"/>
        <w:ind w:left="1"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法定代表人或委托代理人：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（电子签名或盖章）</w:t>
      </w:r>
    </w:p>
    <w:p w14:paraId="0816251A">
      <w:pPr>
        <w:pStyle w:val="12"/>
        <w:spacing w:line="420" w:lineRule="exact"/>
        <w:ind w:left="1" w:lef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日期：     年    月    日</w:t>
      </w:r>
    </w:p>
    <w:p w14:paraId="05570D1D">
      <w:pPr>
        <w:widowControl/>
        <w:spacing w:line="400" w:lineRule="exact"/>
        <w:ind w:firstLine="0" w:firstLineChars="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 xml:space="preserve"> 注：1、供应商须在响应文件中按此模板提供承诺函，未提供视为未实质性响应招标文件要求，按无效投标处理。</w:t>
      </w:r>
    </w:p>
    <w:p w14:paraId="37D7F8C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kern w:val="0"/>
          <w:sz w:val="21"/>
          <w:szCs w:val="21"/>
          <w:highlight w:val="none"/>
          <w:lang w:bidi="ar"/>
        </w:rPr>
        <w:t>2、供应商的法定代表人或者授权代表的签字或盖章应真实、有效，如由授权代表签字或盖章的，应提供“法定代表人授权书”。</w:t>
      </w:r>
    </w:p>
    <w:p w14:paraId="33B222EE">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3、反商业贿赂承诺书</w:t>
      </w:r>
    </w:p>
    <w:p w14:paraId="4B9387EA">
      <w:pPr>
        <w:spacing w:line="360" w:lineRule="auto"/>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反商业贿赂承诺书</w:t>
      </w:r>
    </w:p>
    <w:p w14:paraId="019B22F4">
      <w:pPr>
        <w:spacing w:line="360" w:lineRule="auto"/>
        <w:outlineLvl w:val="0"/>
        <w:rPr>
          <w:rFonts w:hint="eastAsia" w:ascii="宋体" w:hAnsi="宋体" w:eastAsia="宋体" w:cs="宋体"/>
          <w:color w:val="auto"/>
          <w:szCs w:val="21"/>
          <w:highlight w:val="none"/>
        </w:rPr>
      </w:pPr>
    </w:p>
    <w:p w14:paraId="215710E7">
      <w:pPr>
        <w:spacing w:line="360" w:lineRule="auto"/>
        <w:outlineLvl w:val="0"/>
        <w:rPr>
          <w:rFonts w:hint="eastAsia" w:ascii="宋体" w:hAnsi="宋体" w:eastAsia="宋体" w:cs="宋体"/>
          <w:color w:val="auto"/>
          <w:szCs w:val="21"/>
          <w:highlight w:val="none"/>
        </w:rPr>
      </w:pPr>
      <w:bookmarkStart w:id="139" w:name="_Toc22501"/>
      <w:bookmarkStart w:id="140" w:name="_Toc25513"/>
      <w:bookmarkStart w:id="141" w:name="_Toc30079"/>
      <w:r>
        <w:rPr>
          <w:rFonts w:hint="eastAsia" w:ascii="宋体" w:hAnsi="宋体" w:eastAsia="宋体" w:cs="宋体"/>
          <w:color w:val="auto"/>
          <w:szCs w:val="21"/>
          <w:highlight w:val="none"/>
        </w:rPr>
        <w:t>我公司承诺：</w:t>
      </w:r>
      <w:bookmarkEnd w:id="139"/>
      <w:bookmarkEnd w:id="140"/>
      <w:bookmarkEnd w:id="141"/>
    </w:p>
    <w:p w14:paraId="54000CC7">
      <w:pPr>
        <w:spacing w:line="360" w:lineRule="auto"/>
        <w:ind w:firstLine="397"/>
        <w:outlineLvl w:val="0"/>
        <w:rPr>
          <w:rFonts w:hint="eastAsia" w:ascii="宋体" w:hAnsi="宋体" w:eastAsia="宋体" w:cs="宋体"/>
          <w:color w:val="auto"/>
          <w:szCs w:val="21"/>
          <w:highlight w:val="none"/>
        </w:rPr>
      </w:pPr>
      <w:bookmarkStart w:id="142" w:name="_Toc3531"/>
      <w:bookmarkStart w:id="143" w:name="_Toc5824"/>
      <w:bookmarkStart w:id="144" w:name="_Toc12515"/>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（项目名称）采购项目编号为：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）采购活动中，我方保证做到：</w:t>
      </w:r>
      <w:bookmarkEnd w:id="142"/>
      <w:bookmarkEnd w:id="143"/>
      <w:bookmarkEnd w:id="144"/>
    </w:p>
    <w:p w14:paraId="1EA5FACD">
      <w:pPr>
        <w:spacing w:line="360" w:lineRule="auto"/>
        <w:ind w:firstLine="397"/>
        <w:outlineLvl w:val="0"/>
        <w:rPr>
          <w:rFonts w:hint="eastAsia" w:ascii="宋体" w:hAnsi="宋体" w:eastAsia="宋体" w:cs="宋体"/>
          <w:color w:val="auto"/>
          <w:szCs w:val="21"/>
          <w:highlight w:val="none"/>
        </w:rPr>
      </w:pPr>
      <w:bookmarkStart w:id="145" w:name="_Toc11146"/>
      <w:bookmarkStart w:id="146" w:name="_Toc12806"/>
      <w:bookmarkStart w:id="147" w:name="_Toc28006"/>
      <w:r>
        <w:rPr>
          <w:rFonts w:hint="eastAsia" w:ascii="宋体" w:hAnsi="宋体" w:eastAsia="宋体" w:cs="宋体"/>
          <w:color w:val="auto"/>
          <w:szCs w:val="21"/>
          <w:highlight w:val="none"/>
        </w:rPr>
        <w:t>一、公平竞争参加本次采购活动。</w:t>
      </w:r>
      <w:bookmarkEnd w:id="145"/>
      <w:bookmarkEnd w:id="146"/>
      <w:bookmarkEnd w:id="147"/>
    </w:p>
    <w:p w14:paraId="5F71245E">
      <w:pPr>
        <w:spacing w:line="360" w:lineRule="auto"/>
        <w:ind w:firstLine="397"/>
        <w:outlineLvl w:val="0"/>
        <w:rPr>
          <w:rFonts w:hint="eastAsia" w:ascii="宋体" w:hAnsi="宋体" w:eastAsia="宋体" w:cs="宋体"/>
          <w:color w:val="auto"/>
          <w:szCs w:val="21"/>
          <w:highlight w:val="none"/>
        </w:rPr>
      </w:pPr>
      <w:bookmarkStart w:id="148" w:name="_Toc4621"/>
      <w:bookmarkStart w:id="149" w:name="_Toc22150"/>
      <w:bookmarkStart w:id="150" w:name="_Toc14495"/>
      <w:r>
        <w:rPr>
          <w:rFonts w:hint="eastAsia" w:ascii="宋体" w:hAnsi="宋体" w:eastAsia="宋体" w:cs="宋体"/>
          <w:color w:val="auto"/>
          <w:szCs w:val="21"/>
          <w:highlight w:val="none"/>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bookmarkEnd w:id="148"/>
      <w:bookmarkEnd w:id="149"/>
      <w:bookmarkEnd w:id="150"/>
    </w:p>
    <w:p w14:paraId="516B3080">
      <w:pPr>
        <w:spacing w:line="360" w:lineRule="auto"/>
        <w:ind w:firstLine="397"/>
        <w:outlineLvl w:val="0"/>
        <w:rPr>
          <w:rFonts w:hint="eastAsia" w:ascii="宋体" w:hAnsi="宋体" w:eastAsia="宋体" w:cs="宋体"/>
          <w:color w:val="auto"/>
          <w:szCs w:val="21"/>
          <w:highlight w:val="none"/>
        </w:rPr>
      </w:pPr>
      <w:bookmarkStart w:id="151" w:name="_Toc1099"/>
      <w:bookmarkStart w:id="152" w:name="_Toc23938"/>
      <w:bookmarkStart w:id="153" w:name="_Toc15300"/>
      <w:r>
        <w:rPr>
          <w:rFonts w:hint="eastAsia" w:ascii="宋体" w:hAnsi="宋体" w:eastAsia="宋体" w:cs="宋体"/>
          <w:color w:val="auto"/>
          <w:szCs w:val="21"/>
          <w:highlight w:val="none"/>
        </w:rPr>
        <w:t>三、若出现上述行为，我方及参与谈判的工作人员愿意接受按照国家法律法规等有关规定给予的处罚。</w:t>
      </w:r>
      <w:bookmarkEnd w:id="151"/>
      <w:bookmarkEnd w:id="152"/>
      <w:bookmarkEnd w:id="153"/>
    </w:p>
    <w:p w14:paraId="345AFBCF">
      <w:pPr>
        <w:spacing w:line="360" w:lineRule="auto"/>
        <w:ind w:firstLine="555"/>
        <w:outlineLvl w:val="0"/>
        <w:rPr>
          <w:rFonts w:hint="eastAsia" w:ascii="宋体" w:hAnsi="宋体" w:eastAsia="宋体" w:cs="宋体"/>
          <w:color w:val="auto"/>
          <w:szCs w:val="21"/>
          <w:highlight w:val="none"/>
        </w:rPr>
      </w:pPr>
    </w:p>
    <w:p w14:paraId="3E8761EE">
      <w:pPr>
        <w:spacing w:line="360" w:lineRule="auto"/>
        <w:ind w:firstLine="308" w:firstLineChars="147"/>
        <w:outlineLvl w:val="0"/>
        <w:rPr>
          <w:rFonts w:hint="eastAsia" w:ascii="宋体" w:hAnsi="宋体" w:eastAsia="宋体" w:cs="宋体"/>
          <w:color w:val="auto"/>
          <w:szCs w:val="21"/>
          <w:highlight w:val="none"/>
        </w:rPr>
      </w:pPr>
      <w:bookmarkStart w:id="154" w:name="_Toc13028"/>
      <w:bookmarkStart w:id="155" w:name="_Toc19699"/>
      <w:bookmarkStart w:id="156" w:name="_Toc173"/>
      <w:r>
        <w:rPr>
          <w:rFonts w:hint="eastAsia" w:ascii="宋体" w:hAnsi="宋体" w:eastAsia="宋体" w:cs="宋体"/>
          <w:color w:val="auto"/>
          <w:szCs w:val="21"/>
          <w:highlight w:val="none"/>
        </w:rPr>
        <w:t>投标人（</w:t>
      </w:r>
      <w:r>
        <w:rPr>
          <w:rFonts w:hint="eastAsia" w:ascii="宋体" w:hAnsi="宋体" w:eastAsia="宋体" w:cs="宋体"/>
          <w:snapToGrid w:val="0"/>
          <w:color w:val="auto"/>
          <w:kern w:val="0"/>
          <w:szCs w:val="21"/>
          <w:highlight w:val="none"/>
        </w:rPr>
        <w:t>单位电子签章</w:t>
      </w:r>
      <w:r>
        <w:rPr>
          <w:rFonts w:hint="eastAsia" w:ascii="宋体" w:hAnsi="宋体" w:eastAsia="宋体" w:cs="宋体"/>
          <w:color w:val="auto"/>
          <w:szCs w:val="21"/>
          <w:highlight w:val="none"/>
        </w:rPr>
        <w:t>）：</w:t>
      </w:r>
      <w:bookmarkEnd w:id="154"/>
      <w:bookmarkEnd w:id="155"/>
      <w:bookmarkEnd w:id="156"/>
    </w:p>
    <w:p w14:paraId="3BDF4DF5">
      <w:pPr>
        <w:spacing w:line="360" w:lineRule="auto"/>
        <w:ind w:firstLine="315" w:firstLineChars="150"/>
        <w:outlineLvl w:val="0"/>
        <w:rPr>
          <w:rFonts w:hint="eastAsia" w:ascii="宋体" w:hAnsi="宋体" w:eastAsia="宋体" w:cs="宋体"/>
          <w:color w:val="auto"/>
          <w:szCs w:val="21"/>
          <w:highlight w:val="none"/>
        </w:rPr>
      </w:pPr>
      <w:bookmarkStart w:id="157" w:name="_Toc1249"/>
      <w:bookmarkStart w:id="158" w:name="_Toc27458"/>
      <w:bookmarkStart w:id="159" w:name="_Toc8041"/>
      <w:r>
        <w:rPr>
          <w:rFonts w:hint="eastAsia" w:ascii="宋体" w:hAnsi="宋体" w:eastAsia="宋体" w:cs="宋体"/>
          <w:color w:val="auto"/>
          <w:szCs w:val="21"/>
          <w:highlight w:val="none"/>
        </w:rPr>
        <w:t>法定代表人（法定代表人电子签名）：</w:t>
      </w:r>
      <w:bookmarkEnd w:id="157"/>
      <w:bookmarkEnd w:id="158"/>
      <w:bookmarkEnd w:id="159"/>
      <w:r>
        <w:rPr>
          <w:rFonts w:hint="eastAsia" w:ascii="宋体" w:hAnsi="宋体" w:eastAsia="宋体" w:cs="宋体"/>
          <w:color w:val="auto"/>
          <w:szCs w:val="21"/>
          <w:highlight w:val="none"/>
        </w:rPr>
        <w:t xml:space="preserve">          </w:t>
      </w:r>
    </w:p>
    <w:p w14:paraId="2B5A0E31">
      <w:pPr>
        <w:spacing w:line="360" w:lineRule="auto"/>
        <w:ind w:firstLine="315" w:firstLineChars="150"/>
        <w:outlineLvl w:val="0"/>
        <w:rPr>
          <w:rFonts w:hint="eastAsia" w:ascii="宋体" w:hAnsi="宋体" w:eastAsia="宋体" w:cs="宋体"/>
          <w:color w:val="auto"/>
          <w:spacing w:val="20"/>
          <w:highlight w:val="none"/>
        </w:rPr>
      </w:pPr>
      <w:bookmarkStart w:id="160" w:name="_Toc30135"/>
      <w:bookmarkStart w:id="161" w:name="_Toc20683"/>
      <w:bookmarkStart w:id="162" w:name="_Toc29737"/>
      <w:r>
        <w:rPr>
          <w:rFonts w:hint="eastAsia" w:ascii="宋体" w:hAnsi="宋体" w:eastAsia="宋体" w:cs="宋体"/>
          <w:color w:val="auto"/>
          <w:szCs w:val="21"/>
          <w:highlight w:val="none"/>
        </w:rPr>
        <w:t>日期：</w:t>
      </w:r>
      <w:r>
        <w:rPr>
          <w:rFonts w:hint="eastAsia" w:ascii="宋体" w:hAnsi="宋体" w:eastAsia="宋体" w:cs="宋体"/>
          <w:color w:val="auto"/>
          <w:spacing w:val="20"/>
          <w:highlight w:val="none"/>
          <w:u w:val="single"/>
        </w:rPr>
        <w:t xml:space="preserve">      </w:t>
      </w:r>
      <w:r>
        <w:rPr>
          <w:rFonts w:hint="eastAsia" w:ascii="宋体" w:hAnsi="宋体" w:eastAsia="宋体" w:cs="宋体"/>
          <w:color w:val="auto"/>
          <w:spacing w:val="20"/>
          <w:highlight w:val="none"/>
        </w:rPr>
        <w:t>年</w:t>
      </w:r>
      <w:r>
        <w:rPr>
          <w:rFonts w:hint="eastAsia" w:ascii="宋体" w:hAnsi="宋体" w:eastAsia="宋体" w:cs="宋体"/>
          <w:color w:val="auto"/>
          <w:spacing w:val="20"/>
          <w:highlight w:val="none"/>
          <w:u w:val="single"/>
        </w:rPr>
        <w:t xml:space="preserve">    </w:t>
      </w:r>
      <w:r>
        <w:rPr>
          <w:rFonts w:hint="eastAsia" w:ascii="宋体" w:hAnsi="宋体" w:eastAsia="宋体" w:cs="宋体"/>
          <w:color w:val="auto"/>
          <w:spacing w:val="20"/>
          <w:highlight w:val="none"/>
        </w:rPr>
        <w:t>月</w:t>
      </w:r>
      <w:r>
        <w:rPr>
          <w:rFonts w:hint="eastAsia" w:ascii="宋体" w:hAnsi="宋体" w:eastAsia="宋体" w:cs="宋体"/>
          <w:color w:val="auto"/>
          <w:spacing w:val="20"/>
          <w:highlight w:val="none"/>
          <w:u w:val="single"/>
        </w:rPr>
        <w:t xml:space="preserve">    </w:t>
      </w:r>
      <w:r>
        <w:rPr>
          <w:rFonts w:hint="eastAsia" w:ascii="宋体" w:hAnsi="宋体" w:eastAsia="宋体" w:cs="宋体"/>
          <w:color w:val="auto"/>
          <w:spacing w:val="20"/>
          <w:highlight w:val="none"/>
        </w:rPr>
        <w:t>日</w:t>
      </w:r>
      <w:bookmarkEnd w:id="160"/>
      <w:bookmarkEnd w:id="161"/>
      <w:bookmarkEnd w:id="162"/>
    </w:p>
    <w:p w14:paraId="2D0C7C1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F28F648">
      <w:pPr>
        <w:widowControl/>
        <w:spacing w:line="480" w:lineRule="auto"/>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color w:val="auto"/>
          <w:kern w:val="0"/>
          <w:sz w:val="28"/>
          <w:szCs w:val="28"/>
          <w:highlight w:val="none"/>
          <w:lang w:bidi="ar"/>
        </w:rPr>
        <w:t>中小企业声明函（工程、服务）</w:t>
      </w:r>
    </w:p>
    <w:p w14:paraId="54746382">
      <w:pPr>
        <w:spacing w:line="480" w:lineRule="auto"/>
        <w:ind w:left="0" w:leftChars="0" w:firstLine="0" w:firstLineChars="0"/>
        <w:jc w:val="center"/>
        <w:rPr>
          <w:rFonts w:hint="eastAsia" w:ascii="宋体" w:hAnsi="宋体" w:eastAsia="宋体" w:cs="宋体"/>
          <w:color w:val="auto"/>
          <w:szCs w:val="21"/>
          <w:highlight w:val="none"/>
        </w:rPr>
      </w:pPr>
      <w:bookmarkStart w:id="163" w:name="_bookmark1"/>
      <w:bookmarkEnd w:id="163"/>
      <w:bookmarkStart w:id="164" w:name="_Toc4690"/>
      <w:bookmarkStart w:id="165" w:name="_Toc14440"/>
      <w:r>
        <w:rPr>
          <w:rFonts w:hint="eastAsia" w:ascii="宋体" w:hAnsi="宋体" w:eastAsia="宋体" w:cs="宋体"/>
          <w:b/>
          <w:color w:val="auto"/>
          <w:sz w:val="32"/>
          <w:szCs w:val="32"/>
          <w:highlight w:val="none"/>
        </w:rPr>
        <w:t xml:space="preserve">    </w:t>
      </w:r>
      <w:r>
        <w:rPr>
          <w:rFonts w:hint="eastAsia" w:ascii="宋体" w:hAnsi="宋体" w:eastAsia="宋体" w:cs="宋体"/>
          <w:color w:val="auto"/>
          <w:szCs w:val="21"/>
          <w:highlight w:val="none"/>
        </w:rPr>
        <w:t>（属于中小微企业的填写，不属于的无需填写此项内容</w:t>
      </w:r>
      <w:r>
        <w:rPr>
          <w:rFonts w:hint="eastAsia" w:ascii="宋体" w:hAnsi="宋体" w:eastAsia="宋体" w:cs="宋体"/>
          <w:color w:val="auto"/>
          <w:szCs w:val="21"/>
          <w:highlight w:val="none"/>
          <w:lang w:val="en-US" w:eastAsia="zh-CN"/>
        </w:rPr>
        <w:t>但不得删除</w:t>
      </w:r>
      <w:r>
        <w:rPr>
          <w:rFonts w:hint="eastAsia" w:ascii="宋体" w:hAnsi="宋体" w:eastAsia="宋体" w:cs="宋体"/>
          <w:color w:val="auto"/>
          <w:szCs w:val="21"/>
          <w:highlight w:val="none"/>
        </w:rPr>
        <w:t>）</w:t>
      </w:r>
    </w:p>
    <w:p w14:paraId="2054A844">
      <w:pPr>
        <w:widowControl/>
        <w:spacing w:line="360" w:lineRule="auto"/>
        <w:ind w:firstLine="420" w:firstLineChars="200"/>
        <w:jc w:val="left"/>
        <w:rPr>
          <w:rFonts w:hint="eastAsia" w:ascii="宋体" w:hAnsi="宋体" w:eastAsia="宋体" w:cs="宋体"/>
          <w:color w:val="auto"/>
          <w:kern w:val="0"/>
          <w:sz w:val="21"/>
          <w:szCs w:val="21"/>
          <w:highlight w:val="none"/>
          <w:lang w:bidi="ar"/>
        </w:rPr>
      </w:pPr>
    </w:p>
    <w:p w14:paraId="77248373">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本公司（联合体）郑重声明，根据《政府采购促进中小企业发展管理办法》（财库﹝2020﹞46 号）的规定，本公司（联合体）参加</w:t>
      </w:r>
      <w:r>
        <w:rPr>
          <w:rFonts w:hint="eastAsia" w:ascii="宋体" w:hAnsi="宋体" w:eastAsia="宋体" w:cs="宋体"/>
          <w:i/>
          <w:color w:val="auto"/>
          <w:kern w:val="0"/>
          <w:sz w:val="21"/>
          <w:szCs w:val="21"/>
          <w:highlight w:val="none"/>
          <w:u w:val="single"/>
          <w:lang w:bidi="ar"/>
        </w:rPr>
        <w:t>（单位名称）</w:t>
      </w:r>
      <w:r>
        <w:rPr>
          <w:rFonts w:hint="eastAsia" w:ascii="宋体" w:hAnsi="宋体" w:eastAsia="宋体" w:cs="宋体"/>
          <w:color w:val="auto"/>
          <w:kern w:val="0"/>
          <w:sz w:val="21"/>
          <w:szCs w:val="21"/>
          <w:highlight w:val="none"/>
          <w:lang w:bidi="ar"/>
        </w:rPr>
        <w:t>的</w:t>
      </w:r>
      <w:r>
        <w:rPr>
          <w:rFonts w:hint="eastAsia" w:ascii="宋体" w:hAnsi="宋体" w:eastAsia="宋体" w:cs="宋体"/>
          <w:i/>
          <w:color w:val="auto"/>
          <w:kern w:val="0"/>
          <w:sz w:val="21"/>
          <w:szCs w:val="21"/>
          <w:highlight w:val="none"/>
          <w:u w:val="single"/>
          <w:lang w:bidi="ar"/>
        </w:rPr>
        <w:t>（项目名称）</w:t>
      </w:r>
      <w:r>
        <w:rPr>
          <w:rFonts w:hint="eastAsia" w:ascii="宋体" w:hAnsi="宋体" w:eastAsia="宋体" w:cs="宋体"/>
          <w:color w:val="auto"/>
          <w:kern w:val="0"/>
          <w:sz w:val="21"/>
          <w:szCs w:val="21"/>
          <w:highlight w:val="none"/>
          <w:lang w:bidi="ar"/>
        </w:rPr>
        <w:t>采购活动，工程的施工单位全部为符合政策要求的中小企业（或者：服务全部由符合政策要求的中小企业承接）。相关企业（含联合体中的中小企业、签订分包意向协议的中小企业）的具体情况如下：</w:t>
      </w:r>
    </w:p>
    <w:p w14:paraId="3223009F">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r>
        <w:rPr>
          <w:rFonts w:hint="eastAsia" w:ascii="宋体" w:hAnsi="宋体" w:eastAsia="宋体" w:cs="宋体"/>
          <w:i/>
          <w:color w:val="auto"/>
          <w:kern w:val="0"/>
          <w:sz w:val="21"/>
          <w:szCs w:val="21"/>
          <w:highlight w:val="none"/>
          <w:u w:val="single"/>
          <w:lang w:bidi="ar"/>
        </w:rPr>
        <w:t>（标的名称）</w:t>
      </w:r>
      <w:r>
        <w:rPr>
          <w:rFonts w:hint="eastAsia" w:ascii="宋体" w:hAnsi="宋体" w:eastAsia="宋体" w:cs="宋体"/>
          <w:color w:val="auto"/>
          <w:kern w:val="0"/>
          <w:sz w:val="21"/>
          <w:szCs w:val="21"/>
          <w:highlight w:val="none"/>
          <w:lang w:bidi="ar"/>
        </w:rPr>
        <w:t>，属于</w:t>
      </w:r>
      <w:r>
        <w:rPr>
          <w:rFonts w:hint="eastAsia" w:ascii="宋体" w:hAnsi="宋体" w:eastAsia="宋体" w:cs="宋体"/>
          <w:i/>
          <w:color w:val="auto"/>
          <w:kern w:val="0"/>
          <w:sz w:val="21"/>
          <w:szCs w:val="21"/>
          <w:highlight w:val="none"/>
          <w:u w:val="single"/>
          <w:lang w:bidi="ar"/>
        </w:rPr>
        <w:t>（采购文件中明确的所属行业）</w:t>
      </w:r>
      <w:r>
        <w:rPr>
          <w:rFonts w:hint="eastAsia" w:ascii="宋体" w:hAnsi="宋体" w:eastAsia="宋体" w:cs="宋体"/>
          <w:color w:val="auto"/>
          <w:kern w:val="0"/>
          <w:sz w:val="21"/>
          <w:szCs w:val="21"/>
          <w:highlight w:val="none"/>
          <w:lang w:bidi="ar"/>
        </w:rPr>
        <w:t>；承建（承接）企业为</w:t>
      </w:r>
      <w:r>
        <w:rPr>
          <w:rFonts w:hint="eastAsia" w:ascii="宋体" w:hAnsi="宋体" w:eastAsia="宋体" w:cs="宋体"/>
          <w:i/>
          <w:color w:val="auto"/>
          <w:kern w:val="0"/>
          <w:sz w:val="21"/>
          <w:szCs w:val="21"/>
          <w:highlight w:val="none"/>
          <w:u w:val="single"/>
          <w:lang w:bidi="ar"/>
        </w:rPr>
        <w:t>（企业名称）</w:t>
      </w:r>
      <w:r>
        <w:rPr>
          <w:rFonts w:hint="eastAsia" w:ascii="宋体" w:hAnsi="宋体" w:eastAsia="宋体" w:cs="宋体"/>
          <w:color w:val="auto"/>
          <w:kern w:val="0"/>
          <w:sz w:val="21"/>
          <w:szCs w:val="21"/>
          <w:highlight w:val="none"/>
          <w:lang w:bidi="ar"/>
        </w:rPr>
        <w:t>，从业人员</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人，营业收入为</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bidi="ar"/>
        </w:rPr>
        <w:t>万元，资产总额为</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万元，属于</w:t>
      </w:r>
      <w:r>
        <w:rPr>
          <w:rFonts w:hint="eastAsia" w:ascii="宋体" w:hAnsi="宋体" w:eastAsia="宋体" w:cs="宋体"/>
          <w:i/>
          <w:color w:val="auto"/>
          <w:kern w:val="0"/>
          <w:sz w:val="21"/>
          <w:szCs w:val="21"/>
          <w:highlight w:val="none"/>
          <w:u w:val="single"/>
          <w:lang w:bidi="ar"/>
        </w:rPr>
        <w:t>（中型企业、小型企业、微型企业）</w:t>
      </w:r>
      <w:r>
        <w:rPr>
          <w:rFonts w:hint="eastAsia" w:ascii="宋体" w:hAnsi="宋体" w:eastAsia="宋体" w:cs="宋体"/>
          <w:color w:val="auto"/>
          <w:kern w:val="0"/>
          <w:sz w:val="21"/>
          <w:szCs w:val="21"/>
          <w:highlight w:val="none"/>
          <w:lang w:bidi="ar"/>
        </w:rPr>
        <w:t xml:space="preserve">； </w:t>
      </w:r>
    </w:p>
    <w:p w14:paraId="53C3B546">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r>
        <w:rPr>
          <w:rFonts w:hint="eastAsia" w:ascii="宋体" w:hAnsi="宋体" w:eastAsia="宋体" w:cs="宋体"/>
          <w:i/>
          <w:color w:val="auto"/>
          <w:kern w:val="0"/>
          <w:sz w:val="21"/>
          <w:szCs w:val="21"/>
          <w:highlight w:val="none"/>
          <w:u w:val="single"/>
          <w:lang w:bidi="ar"/>
        </w:rPr>
        <w:t>（标的名称）</w:t>
      </w:r>
      <w:r>
        <w:rPr>
          <w:rFonts w:hint="eastAsia" w:ascii="宋体" w:hAnsi="宋体" w:eastAsia="宋体" w:cs="宋体"/>
          <w:color w:val="auto"/>
          <w:kern w:val="0"/>
          <w:sz w:val="21"/>
          <w:szCs w:val="21"/>
          <w:highlight w:val="none"/>
          <w:lang w:bidi="ar"/>
        </w:rPr>
        <w:t>，属于</w:t>
      </w:r>
      <w:r>
        <w:rPr>
          <w:rFonts w:hint="eastAsia" w:ascii="宋体" w:hAnsi="宋体" w:eastAsia="宋体" w:cs="宋体"/>
          <w:i/>
          <w:color w:val="auto"/>
          <w:kern w:val="0"/>
          <w:sz w:val="21"/>
          <w:szCs w:val="21"/>
          <w:highlight w:val="none"/>
          <w:u w:val="single"/>
          <w:lang w:bidi="ar"/>
        </w:rPr>
        <w:t>（采购文件中明确的所属行业）</w:t>
      </w:r>
      <w:r>
        <w:rPr>
          <w:rFonts w:hint="eastAsia" w:ascii="宋体" w:hAnsi="宋体" w:eastAsia="宋体" w:cs="宋体"/>
          <w:color w:val="auto"/>
          <w:kern w:val="0"/>
          <w:sz w:val="21"/>
          <w:szCs w:val="21"/>
          <w:highlight w:val="none"/>
          <w:lang w:bidi="ar"/>
        </w:rPr>
        <w:t xml:space="preserve">； </w:t>
      </w:r>
    </w:p>
    <w:p w14:paraId="599554F0">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承建（承接）企业为</w:t>
      </w:r>
      <w:r>
        <w:rPr>
          <w:rFonts w:hint="eastAsia" w:ascii="宋体" w:hAnsi="宋体" w:eastAsia="宋体" w:cs="宋体"/>
          <w:i/>
          <w:color w:val="auto"/>
          <w:kern w:val="0"/>
          <w:sz w:val="21"/>
          <w:szCs w:val="21"/>
          <w:highlight w:val="none"/>
          <w:lang w:bidi="ar"/>
        </w:rPr>
        <w:t>（企业名称）</w:t>
      </w:r>
      <w:r>
        <w:rPr>
          <w:rFonts w:hint="eastAsia" w:ascii="宋体" w:hAnsi="宋体" w:eastAsia="宋体" w:cs="宋体"/>
          <w:color w:val="auto"/>
          <w:kern w:val="0"/>
          <w:sz w:val="21"/>
          <w:szCs w:val="21"/>
          <w:highlight w:val="none"/>
          <w:lang w:bidi="ar"/>
        </w:rPr>
        <w:t>，从业人员</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人，营业收入为</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万元，资产总额为万元，属于</w:t>
      </w:r>
      <w:r>
        <w:rPr>
          <w:rFonts w:hint="eastAsia" w:ascii="宋体" w:hAnsi="宋体" w:eastAsia="宋体" w:cs="宋体"/>
          <w:i/>
          <w:color w:val="auto"/>
          <w:kern w:val="0"/>
          <w:sz w:val="21"/>
          <w:szCs w:val="21"/>
          <w:highlight w:val="none"/>
          <w:u w:val="single"/>
          <w:lang w:bidi="ar"/>
        </w:rPr>
        <w:t>（中型企业、小型企业、微型企业）</w:t>
      </w:r>
      <w:r>
        <w:rPr>
          <w:rFonts w:hint="eastAsia" w:ascii="宋体" w:hAnsi="宋体" w:eastAsia="宋体" w:cs="宋体"/>
          <w:color w:val="auto"/>
          <w:kern w:val="0"/>
          <w:sz w:val="21"/>
          <w:szCs w:val="21"/>
          <w:highlight w:val="none"/>
          <w:lang w:bidi="ar"/>
        </w:rPr>
        <w:t xml:space="preserve">； </w:t>
      </w:r>
    </w:p>
    <w:p w14:paraId="67DDE42C">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w:t>
      </w:r>
    </w:p>
    <w:p w14:paraId="1FCFDE9B">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以上企业，不属于大企业的分支机构，不存在控股股东为大企业的情形，也不存在与大企业的负责人为同一人的情形。</w:t>
      </w:r>
    </w:p>
    <w:p w14:paraId="1F98179B">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本企业对上述声明内容的真实性负责。如有虚假，将依法承担相应责任。 </w:t>
      </w:r>
    </w:p>
    <w:p w14:paraId="1D7FA5CC">
      <w:pPr>
        <w:widowControl/>
        <w:spacing w:line="360" w:lineRule="auto"/>
        <w:jc w:val="right"/>
        <w:rPr>
          <w:rFonts w:hint="eastAsia" w:ascii="宋体" w:hAnsi="宋体" w:eastAsia="宋体" w:cs="宋体"/>
          <w:color w:val="auto"/>
          <w:kern w:val="0"/>
          <w:sz w:val="21"/>
          <w:szCs w:val="21"/>
          <w:highlight w:val="none"/>
          <w:lang w:bidi="ar"/>
        </w:rPr>
      </w:pPr>
    </w:p>
    <w:p w14:paraId="4476517A">
      <w:pPr>
        <w:spacing w:line="360" w:lineRule="auto"/>
        <w:ind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p w14:paraId="4E9809BC">
      <w:pPr>
        <w:wordWrap w:val="0"/>
        <w:spacing w:line="360" w:lineRule="auto"/>
        <w:ind w:firstLine="420" w:firstLineChars="200"/>
        <w:jc w:val="righ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企业名称（</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val="en-US" w:eastAsia="zh-CN"/>
        </w:rPr>
        <w:t>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p>
    <w:p w14:paraId="6C1A802B">
      <w:pPr>
        <w:spacing w:line="480" w:lineRule="auto"/>
        <w:ind w:firstLine="420" w:firstLineChars="2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E8AA229">
      <w:pPr>
        <w:pStyle w:val="7"/>
        <w:rPr>
          <w:rFonts w:hint="eastAsia" w:ascii="宋体" w:hAnsi="宋体" w:eastAsia="宋体" w:cs="宋体"/>
          <w:color w:val="auto"/>
          <w:sz w:val="21"/>
          <w:szCs w:val="21"/>
          <w:highlight w:val="none"/>
        </w:rPr>
      </w:pPr>
    </w:p>
    <w:p w14:paraId="3A668E4C">
      <w:pPr>
        <w:rPr>
          <w:rFonts w:hint="eastAsia" w:ascii="宋体" w:hAnsi="宋体" w:eastAsia="宋体" w:cs="宋体"/>
          <w:color w:val="auto"/>
          <w:sz w:val="21"/>
          <w:szCs w:val="21"/>
          <w:highlight w:val="none"/>
        </w:rPr>
      </w:pPr>
    </w:p>
    <w:p w14:paraId="35151A5C">
      <w:pPr>
        <w:pStyle w:val="7"/>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注：从业人员、营业收入、资产总额填报上一年度数据，无上一年度数据的新成立企业可不填报。</w:t>
      </w:r>
    </w:p>
    <w:p w14:paraId="2E82D927">
      <w:pPr>
        <w:widowControl/>
        <w:spacing w:line="360" w:lineRule="auto"/>
        <w:ind w:firstLine="420" w:firstLineChars="200"/>
        <w:jc w:val="left"/>
        <w:rPr>
          <w:rFonts w:hint="eastAsia" w:ascii="宋体" w:hAnsi="宋体" w:eastAsia="宋体" w:cs="宋体"/>
          <w:color w:val="auto"/>
          <w:sz w:val="21"/>
          <w:szCs w:val="21"/>
          <w:highlight w:val="none"/>
        </w:rPr>
      </w:pPr>
    </w:p>
    <w:p w14:paraId="798E89FE">
      <w:pPr>
        <w:pStyle w:val="3"/>
        <w:tabs>
          <w:tab w:val="left" w:pos="840"/>
        </w:tabs>
        <w:ind w:left="420"/>
        <w:jc w:val="center"/>
        <w:rPr>
          <w:rFonts w:hint="eastAsia" w:ascii="宋体" w:hAnsi="宋体" w:eastAsia="宋体" w:cs="宋体"/>
          <w:color w:val="auto"/>
          <w:sz w:val="22"/>
          <w:szCs w:val="2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-50800</wp:posOffset>
            </wp:positionH>
            <wp:positionV relativeFrom="paragraph">
              <wp:posOffset>314325</wp:posOffset>
            </wp:positionV>
            <wp:extent cx="6200140" cy="8126095"/>
            <wp:effectExtent l="0" t="0" r="10160" b="8255"/>
            <wp:wrapTopAndBottom/>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19"/>
                    <a:stretch>
                      <a:fillRect/>
                    </a:stretch>
                  </pic:blipFill>
                  <pic:spPr>
                    <a:xfrm>
                      <a:off x="0" y="0"/>
                      <a:ext cx="6200140" cy="8126095"/>
                    </a:xfrm>
                    <a:prstGeom prst="rect">
                      <a:avLst/>
                    </a:prstGeom>
                    <a:noFill/>
                    <a:ln>
                      <a:noFill/>
                    </a:ln>
                  </pic:spPr>
                </pic:pic>
              </a:graphicData>
            </a:graphic>
          </wp:anchor>
        </w:drawing>
      </w:r>
      <w:r>
        <w:rPr>
          <w:rFonts w:hint="eastAsia" w:ascii="宋体" w:hAnsi="宋体" w:eastAsia="宋体" w:cs="宋体"/>
          <w:b/>
          <w:color w:val="auto"/>
          <w:sz w:val="32"/>
          <w:szCs w:val="32"/>
          <w:highlight w:val="none"/>
        </w:rPr>
        <w:br w:type="page"/>
      </w:r>
      <w:r>
        <w:rPr>
          <w:rFonts w:hint="eastAsia" w:ascii="宋体" w:hAnsi="宋体" w:eastAsia="宋体" w:cs="宋体"/>
          <w:color w:val="auto"/>
          <w:highlight w:val="none"/>
        </w:rPr>
        <w:drawing>
          <wp:anchor distT="0" distB="0" distL="114300" distR="114300" simplePos="0" relativeHeight="251660288" behindDoc="0" locked="0" layoutInCell="1" allowOverlap="1">
            <wp:simplePos x="0" y="0"/>
            <wp:positionH relativeFrom="column">
              <wp:posOffset>-76835</wp:posOffset>
            </wp:positionH>
            <wp:positionV relativeFrom="paragraph">
              <wp:posOffset>345440</wp:posOffset>
            </wp:positionV>
            <wp:extent cx="5853430" cy="7674610"/>
            <wp:effectExtent l="0" t="0" r="13970" b="2540"/>
            <wp:wrapTopAndBottom/>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20"/>
                    <a:stretch>
                      <a:fillRect/>
                    </a:stretch>
                  </pic:blipFill>
                  <pic:spPr>
                    <a:xfrm>
                      <a:off x="0" y="0"/>
                      <a:ext cx="5853430" cy="7674610"/>
                    </a:xfrm>
                    <a:prstGeom prst="rect">
                      <a:avLst/>
                    </a:prstGeom>
                    <a:noFill/>
                    <a:ln>
                      <a:noFill/>
                    </a:ln>
                  </pic:spPr>
                </pic:pic>
              </a:graphicData>
            </a:graphic>
          </wp:anchor>
        </w:drawing>
      </w:r>
      <w:r>
        <w:rPr>
          <w:rFonts w:hint="eastAsia" w:ascii="宋体" w:hAnsi="宋体" w:eastAsia="宋体" w:cs="宋体"/>
          <w:b/>
          <w:color w:val="auto"/>
          <w:sz w:val="32"/>
          <w:szCs w:val="32"/>
          <w:highlight w:val="none"/>
        </w:rPr>
        <w:br w:type="page"/>
      </w:r>
      <w:r>
        <w:rPr>
          <w:rFonts w:hint="eastAsia" w:ascii="宋体" w:hAnsi="宋体" w:eastAsia="宋体" w:cs="宋体"/>
          <w:color w:val="auto"/>
          <w:sz w:val="22"/>
          <w:szCs w:val="22"/>
          <w:highlight w:val="none"/>
        </w:rPr>
        <w:t>5、残疾人福利企业声明函</w:t>
      </w:r>
      <w:bookmarkEnd w:id="164"/>
      <w:bookmarkEnd w:id="165"/>
    </w:p>
    <w:p w14:paraId="6D4EF133">
      <w:pPr>
        <w:rPr>
          <w:rFonts w:hint="eastAsia" w:ascii="宋体" w:hAnsi="宋体" w:eastAsia="宋体" w:cs="宋体"/>
          <w:color w:val="auto"/>
          <w:highlight w:val="none"/>
        </w:rPr>
      </w:pPr>
    </w:p>
    <w:p w14:paraId="68AB344F">
      <w:pPr>
        <w:pStyle w:val="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w:t>
      </w:r>
      <w:r>
        <w:rPr>
          <w:rFonts w:hint="eastAsia" w:ascii="宋体" w:hAnsi="宋体" w:eastAsia="宋体" w:cs="宋体"/>
          <w:color w:val="auto"/>
          <w:sz w:val="21"/>
          <w:szCs w:val="21"/>
          <w:highlight w:val="none"/>
          <w:u w:val="single"/>
        </w:rPr>
        <w:t>（其他残疾人福利性单位名称）</w:t>
      </w:r>
      <w:r>
        <w:rPr>
          <w:rFonts w:hint="eastAsia" w:ascii="宋体" w:hAnsi="宋体" w:eastAsia="宋体" w:cs="宋体"/>
          <w:color w:val="auto"/>
          <w:sz w:val="21"/>
          <w:szCs w:val="21"/>
          <w:highlight w:val="none"/>
        </w:rPr>
        <w:t>制造的货物（不包括使用非残疾人福利性单位注册商标的货物）。货物的名称品牌型号是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3236A2">
      <w:pPr>
        <w:pStyle w:val="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本单位对上述声明的真实性负责。如有虚假，将承担相应的法律责任。</w:t>
      </w:r>
    </w:p>
    <w:p w14:paraId="2A8BB0BE">
      <w:pPr>
        <w:pStyle w:val="5"/>
        <w:spacing w:line="360" w:lineRule="auto"/>
        <w:rPr>
          <w:rFonts w:hint="eastAsia" w:ascii="宋体" w:hAnsi="宋体" w:eastAsia="宋体" w:cs="宋体"/>
          <w:color w:val="auto"/>
          <w:sz w:val="21"/>
          <w:szCs w:val="21"/>
          <w:highlight w:val="none"/>
        </w:rPr>
      </w:pPr>
    </w:p>
    <w:p w14:paraId="0350660F">
      <w:pPr>
        <w:pStyle w:val="7"/>
        <w:spacing w:after="0" w:line="360" w:lineRule="auto"/>
        <w:ind w:firstLine="2940" w:firstLineChars="14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企业名称（盖章）：</w:t>
      </w:r>
    </w:p>
    <w:p w14:paraId="4A1236AF">
      <w:pPr>
        <w:pStyle w:val="7"/>
        <w:spacing w:after="0"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日期：</w:t>
      </w:r>
    </w:p>
    <w:p w14:paraId="6D83A286">
      <w:pPr>
        <w:pStyle w:val="5"/>
        <w:spacing w:line="360" w:lineRule="auto"/>
        <w:rPr>
          <w:rFonts w:hint="eastAsia" w:ascii="宋体" w:hAnsi="宋体" w:eastAsia="宋体" w:cs="宋体"/>
          <w:color w:val="auto"/>
          <w:sz w:val="21"/>
          <w:szCs w:val="21"/>
          <w:highlight w:val="none"/>
        </w:rPr>
      </w:pPr>
    </w:p>
    <w:p w14:paraId="52E72A92">
      <w:pPr>
        <w:widowControl/>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（提醒：如果供应商不是残疾人福利性单位，则不需要提供《残疾人福利性单位声明函》。否则，因此导致虚假投标的后果由供应商自行承担。）</w:t>
      </w:r>
    </w:p>
    <w:p w14:paraId="7D1FF1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《财政部民政部中国残疾人联合会关于促进残疾人就业政府采购政策的通知》（财库（2017〔141〕号）的规定：</w:t>
      </w:r>
    </w:p>
    <w:p w14:paraId="3D256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1.享受政府采购支持政策的残疾人福利性单位应当同时满足以下条件：</w:t>
      </w:r>
    </w:p>
    <w:p w14:paraId="2380BBC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（1）安置的残疾人占本单位在职职工人数的比例不低于25%（含25%），并且安置的残疾人人数不少于10人（含10人）；</w:t>
      </w:r>
    </w:p>
    <w:p w14:paraId="05F2636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（2）依法与安置的每位残疾人签订了一年以上（含一年）的劳动合同或服务协议；</w:t>
      </w:r>
    </w:p>
    <w:p w14:paraId="67C841A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（3）为安置的每位残疾人按月足额缴纳了基本养老保险、基本医疗保险、失业保险、工伤保险和生育保险等社会保险费；</w:t>
      </w:r>
    </w:p>
    <w:p w14:paraId="4ABDF5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（4）通过银行等金融机构向安置的每位残疾人，按月支付了不低于单位所在区县适用的经省级人民政府批准的月最低工资标准的工资；</w:t>
      </w:r>
    </w:p>
    <w:p w14:paraId="6693488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（5）提供本单位制造的货物、承担的工程或者服务（以下简称产品），或者提供其他残疾人福利性单位制造的货物（不包括使用非残疾人福利性单位注册商标的货物）。</w:t>
      </w:r>
    </w:p>
    <w:p w14:paraId="0AE46822">
      <w:pPr>
        <w:autoSpaceDE w:val="0"/>
        <w:autoSpaceDN w:val="0"/>
        <w:adjustRightInd w:val="0"/>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2. 中标人为残疾人福利性单位的，招标人或者其委托的招标代理机构应当随中标、成交结果同时公告其《残疾人福利性单位声明函》，接受社会监督，一旦发现弄虚作假提供虚假信息的，承担相应的法律责任。</w:t>
      </w:r>
    </w:p>
    <w:p w14:paraId="5B5FE300">
      <w:pPr>
        <w:jc w:val="center"/>
        <w:rPr>
          <w:rFonts w:hint="eastAsia" w:ascii="宋体" w:hAnsi="宋体" w:eastAsia="宋体" w:cs="宋体"/>
          <w:color w:val="auto"/>
          <w:sz w:val="32"/>
          <w:szCs w:val="32"/>
          <w:highlight w:val="none"/>
        </w:rPr>
      </w:pPr>
    </w:p>
    <w:p w14:paraId="3AECD514">
      <w:pPr>
        <w:pStyle w:val="21"/>
        <w:ind w:firstLine="320"/>
        <w:rPr>
          <w:rFonts w:hint="eastAsia" w:ascii="宋体" w:hAnsi="宋体" w:eastAsia="宋体" w:cs="宋体"/>
          <w:color w:val="auto"/>
          <w:sz w:val="32"/>
          <w:szCs w:val="32"/>
          <w:highlight w:val="none"/>
        </w:rPr>
      </w:pPr>
    </w:p>
    <w:p w14:paraId="1B60B7BF">
      <w:pPr>
        <w:pStyle w:val="22"/>
        <w:ind w:firstLine="640"/>
        <w:rPr>
          <w:rFonts w:hint="eastAsia" w:ascii="宋体" w:hAnsi="宋体" w:eastAsia="宋体" w:cs="宋体"/>
          <w:color w:val="auto"/>
          <w:sz w:val="32"/>
          <w:szCs w:val="32"/>
          <w:highlight w:val="none"/>
        </w:rPr>
      </w:pPr>
    </w:p>
    <w:p w14:paraId="6EDF8116">
      <w:pPr>
        <w:rPr>
          <w:rFonts w:hint="eastAsia" w:ascii="宋体" w:hAnsi="宋体" w:eastAsia="宋体" w:cs="宋体"/>
          <w:color w:val="auto"/>
          <w:sz w:val="32"/>
          <w:szCs w:val="32"/>
          <w:highlight w:val="none"/>
        </w:rPr>
      </w:pPr>
    </w:p>
    <w:p w14:paraId="391667E7">
      <w:pPr>
        <w:pStyle w:val="21"/>
        <w:ind w:firstLine="320"/>
        <w:rPr>
          <w:rFonts w:hint="eastAsia" w:ascii="宋体" w:hAnsi="宋体" w:eastAsia="宋体" w:cs="宋体"/>
          <w:color w:val="auto"/>
          <w:sz w:val="32"/>
          <w:szCs w:val="32"/>
          <w:highlight w:val="none"/>
        </w:rPr>
      </w:pPr>
    </w:p>
    <w:p w14:paraId="4C52C710">
      <w:pPr>
        <w:pStyle w:val="2"/>
        <w:numPr>
          <w:ilvl w:val="0"/>
          <w:numId w:val="0"/>
        </w:numPr>
        <w:bidi w:val="0"/>
        <w:ind w:firstLine="562" w:firstLineChars="20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t>八</w:t>
      </w:r>
      <w:r>
        <w:rPr>
          <w:rFonts w:hint="eastAsia" w:ascii="宋体" w:hAnsi="宋体" w:eastAsia="宋体" w:cs="宋体"/>
          <w:b/>
          <w:bCs/>
          <w:color w:val="auto"/>
          <w:kern w:val="2"/>
          <w:sz w:val="28"/>
          <w:szCs w:val="28"/>
          <w:highlight w:val="none"/>
          <w:lang w:val="en-US" w:eastAsia="zh-CN" w:bidi="ar-SA"/>
        </w:rPr>
        <w:t>、其他材料</w:t>
      </w:r>
    </w:p>
    <w:p w14:paraId="75313D3E">
      <w:pPr>
        <w:bidi w:val="0"/>
        <w:spacing w:line="360" w:lineRule="auto"/>
        <w:jc w:val="center"/>
        <w:rPr>
          <w:rFonts w:hint="eastAsia" w:ascii="宋体" w:hAnsi="宋体" w:eastAsia="宋体" w:cs="宋体"/>
          <w:b/>
          <w:color w:val="auto"/>
          <w:sz w:val="21"/>
          <w:szCs w:val="21"/>
          <w:highlight w:val="none"/>
          <w:lang w:val="en-US" w:eastAsia="zh-CN"/>
        </w:rPr>
      </w:pPr>
    </w:p>
    <w:p w14:paraId="4C34D456">
      <w:pPr>
        <w:bidi w:val="0"/>
        <w:spacing w:line="36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1、采购代理服务费承诺函</w:t>
      </w:r>
    </w:p>
    <w:p w14:paraId="1C7CB497">
      <w:pPr>
        <w:pStyle w:val="20"/>
        <w:shd w:val="clear" w:color="auto" w:fill="FFFFFF"/>
        <w:bidi w:val="0"/>
        <w:spacing w:before="0" w:beforeLines="0" w:beforeAutospacing="0" w:after="0" w:afterLines="0" w:afterAutospacing="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2485274B">
      <w:pPr>
        <w:pStyle w:val="20"/>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致</w:t>
      </w:r>
      <w:r>
        <w:rPr>
          <w:rFonts w:hint="eastAsia" w:ascii="宋体" w:hAnsi="宋体" w:eastAsia="宋体" w:cs="宋体"/>
          <w:color w:val="auto"/>
          <w:spacing w:val="8"/>
          <w:sz w:val="21"/>
          <w:szCs w:val="21"/>
          <w:highlight w:val="none"/>
          <w:u w:val="single"/>
          <w:shd w:val="clear" w:color="auto" w:fill="FFFFFF"/>
        </w:rPr>
        <w:t>（采购人及采购代理机构） </w:t>
      </w:r>
      <w:r>
        <w:rPr>
          <w:rFonts w:hint="eastAsia" w:ascii="宋体" w:hAnsi="宋体" w:eastAsia="宋体" w:cs="宋体"/>
          <w:color w:val="auto"/>
          <w:spacing w:val="8"/>
          <w:sz w:val="21"/>
          <w:szCs w:val="21"/>
          <w:highlight w:val="none"/>
          <w:shd w:val="clear" w:color="auto" w:fill="FFFFFF"/>
        </w:rPr>
        <w:t>：</w:t>
      </w:r>
    </w:p>
    <w:p w14:paraId="31DB369C">
      <w:pPr>
        <w:pStyle w:val="20"/>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我们在贵公司组织的（项目名称：</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，采购编号：</w:t>
      </w:r>
      <w:r>
        <w:rPr>
          <w:rFonts w:hint="eastAsia" w:ascii="宋体" w:hAnsi="宋体" w:eastAsia="宋体" w:cs="宋体"/>
          <w:color w:val="auto"/>
          <w:spacing w:val="8"/>
          <w:sz w:val="21"/>
          <w:szCs w:val="21"/>
          <w:highlight w:val="none"/>
          <w:u w:val="single"/>
          <w:shd w:val="clear" w:color="auto" w:fill="FFFFFF"/>
        </w:rPr>
        <w:t xml:space="preserve">     </w:t>
      </w:r>
      <w:r>
        <w:rPr>
          <w:rFonts w:hint="eastAsia" w:ascii="宋体" w:hAnsi="宋体" w:eastAsia="宋体" w:cs="宋体"/>
          <w:color w:val="auto"/>
          <w:spacing w:val="8"/>
          <w:sz w:val="21"/>
          <w:szCs w:val="21"/>
          <w:highlight w:val="none"/>
          <w:shd w:val="clear" w:color="auto" w:fill="FFFFFF"/>
        </w:rPr>
        <w:t>）招标采购中若获中标（成交），我们保证在中标</w:t>
      </w:r>
      <w:r>
        <w:rPr>
          <w:rFonts w:hint="eastAsia" w:eastAsia="宋体" w:cs="宋体"/>
          <w:color w:val="auto"/>
          <w:spacing w:val="8"/>
          <w:sz w:val="21"/>
          <w:szCs w:val="21"/>
          <w:highlight w:val="none"/>
          <w:shd w:val="clear" w:color="auto" w:fill="FFFFFF"/>
          <w:lang w:eastAsia="zh-CN"/>
        </w:rPr>
        <w:t>（</w:t>
      </w:r>
      <w:r>
        <w:rPr>
          <w:rFonts w:hint="eastAsia" w:ascii="宋体" w:hAnsi="宋体" w:eastAsia="宋体" w:cs="宋体"/>
          <w:color w:val="auto"/>
          <w:spacing w:val="8"/>
          <w:sz w:val="21"/>
          <w:szCs w:val="21"/>
          <w:highlight w:val="none"/>
          <w:shd w:val="clear" w:color="auto" w:fill="FFFFFF"/>
        </w:rPr>
        <w:t>成交）结果公告发布后5个工作日内，按招标文件的规定，以支票、银行转账、汇票或现金，向贵公司一次性支付</w:t>
      </w:r>
      <w:r>
        <w:rPr>
          <w:rFonts w:hint="eastAsia" w:eastAsia="宋体" w:cs="宋体"/>
          <w:color w:val="auto"/>
          <w:spacing w:val="8"/>
          <w:sz w:val="21"/>
          <w:szCs w:val="21"/>
          <w:highlight w:val="none"/>
          <w:shd w:val="clear" w:color="auto" w:fill="FFFFFF"/>
          <w:lang w:eastAsia="zh-CN"/>
        </w:rPr>
        <w:t>采购代理</w:t>
      </w:r>
      <w:r>
        <w:rPr>
          <w:rFonts w:hint="eastAsia" w:ascii="宋体" w:hAnsi="宋体" w:eastAsia="宋体" w:cs="宋体"/>
          <w:color w:val="auto"/>
          <w:spacing w:val="8"/>
          <w:sz w:val="21"/>
          <w:szCs w:val="21"/>
          <w:highlight w:val="none"/>
          <w:shd w:val="clear" w:color="auto" w:fill="FFFFFF"/>
        </w:rPr>
        <w:t>服务费用。否则，由此产生的一切法律后果和责任由我公司承担。我公司声明放弃对此提出任何异议和追索的权利。</w:t>
      </w:r>
    </w:p>
    <w:p w14:paraId="35BB7FDC">
      <w:pPr>
        <w:pStyle w:val="20"/>
        <w:shd w:val="clear" w:color="auto" w:fill="FFFFFF"/>
        <w:bidi w:val="0"/>
        <w:spacing w:before="0" w:beforeLines="0" w:beforeAutospacing="0" w:after="0" w:afterLines="0" w:afterAutospacing="0" w:line="360" w:lineRule="auto"/>
        <w:ind w:firstLine="452" w:firstLineChars="20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特此承诺。</w:t>
      </w:r>
    </w:p>
    <w:p w14:paraId="736A9961">
      <w:pPr>
        <w:pStyle w:val="20"/>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50DCE8BB">
      <w:pPr>
        <w:pStyle w:val="20"/>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shd w:val="clear" w:color="auto" w:fill="FFFFFF"/>
        </w:rPr>
        <w:t> </w:t>
      </w:r>
    </w:p>
    <w:p w14:paraId="559A9BC0">
      <w:pPr>
        <w:pStyle w:val="20"/>
        <w:shd w:val="clear" w:color="auto" w:fill="FFFFFF"/>
        <w:bidi w:val="0"/>
        <w:spacing w:before="0" w:beforeLines="0" w:beforeAutospacing="0" w:after="0" w:afterLines="0" w:afterAutospacing="0" w:line="360" w:lineRule="auto"/>
        <w:ind w:firstLine="465"/>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供应商名称：</w:t>
      </w:r>
      <w:r>
        <w:rPr>
          <w:rFonts w:hint="eastAsia" w:ascii="宋体" w:hAnsi="宋体" w:eastAsia="宋体" w:cs="宋体"/>
          <w:b/>
          <w:bCs/>
          <w:color w:val="auto"/>
          <w:spacing w:val="8"/>
          <w:sz w:val="21"/>
          <w:szCs w:val="21"/>
          <w:highlight w:val="none"/>
          <w:u w:val="single"/>
          <w:shd w:val="clear" w:color="auto" w:fill="FFFFFF"/>
        </w:rPr>
        <w:t>          </w:t>
      </w:r>
      <w:r>
        <w:rPr>
          <w:rFonts w:hint="eastAsia" w:ascii="宋体" w:hAnsi="宋体" w:eastAsia="宋体" w:cs="宋体"/>
          <w:b/>
          <w:bCs/>
          <w:color w:val="auto"/>
          <w:spacing w:val="8"/>
          <w:sz w:val="21"/>
          <w:szCs w:val="21"/>
          <w:highlight w:val="none"/>
          <w:shd w:val="clear" w:color="auto" w:fill="FFFFFF"/>
        </w:rPr>
        <w:t>（单位电子签章）</w:t>
      </w:r>
    </w:p>
    <w:p w14:paraId="21A063AC">
      <w:pPr>
        <w:pStyle w:val="20"/>
        <w:shd w:val="clear" w:color="auto" w:fill="FFFFFF"/>
        <w:bidi w:val="0"/>
        <w:spacing w:before="0" w:beforeLines="0" w:beforeAutospacing="0" w:after="0" w:afterLines="0" w:afterAutospacing="0" w:line="360" w:lineRule="auto"/>
        <w:ind w:firstLine="465"/>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法定代表人或授权代表：</w:t>
      </w:r>
      <w:r>
        <w:rPr>
          <w:rFonts w:hint="eastAsia" w:ascii="宋体" w:hAnsi="宋体" w:eastAsia="宋体" w:cs="宋体"/>
          <w:b/>
          <w:bCs/>
          <w:color w:val="auto"/>
          <w:spacing w:val="8"/>
          <w:sz w:val="21"/>
          <w:szCs w:val="21"/>
          <w:highlight w:val="none"/>
          <w:u w:val="single"/>
          <w:shd w:val="clear" w:color="auto" w:fill="FFFFFF"/>
        </w:rPr>
        <w:t>      </w:t>
      </w:r>
      <w:r>
        <w:rPr>
          <w:rFonts w:hint="eastAsia" w:ascii="宋体" w:hAnsi="宋体" w:eastAsia="宋体" w:cs="宋体"/>
          <w:b/>
          <w:bCs/>
          <w:color w:val="auto"/>
          <w:spacing w:val="8"/>
          <w:sz w:val="21"/>
          <w:szCs w:val="21"/>
          <w:highlight w:val="none"/>
          <w:shd w:val="clear" w:color="auto" w:fill="FFFFFF"/>
        </w:rPr>
        <w:t>（电子签名或盖章）</w:t>
      </w:r>
    </w:p>
    <w:p w14:paraId="48821CDB">
      <w:pPr>
        <w:pStyle w:val="20"/>
        <w:shd w:val="clear" w:color="auto" w:fill="FFFFFF"/>
        <w:bidi w:val="0"/>
        <w:spacing w:before="0" w:beforeLines="0" w:beforeAutospacing="0" w:after="0" w:afterLines="0" w:afterAutospacing="0" w:line="360" w:lineRule="auto"/>
        <w:ind w:firstLine="480"/>
        <w:jc w:val="both"/>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日期：</w:t>
      </w:r>
      <w:r>
        <w:rPr>
          <w:rFonts w:hint="eastAsia" w:ascii="宋体" w:hAnsi="宋体" w:eastAsia="宋体" w:cs="宋体"/>
          <w:b/>
          <w:bCs/>
          <w:color w:val="auto"/>
          <w:spacing w:val="8"/>
          <w:sz w:val="21"/>
          <w:szCs w:val="21"/>
          <w:highlight w:val="none"/>
          <w:u w:val="single"/>
          <w:shd w:val="clear" w:color="auto" w:fill="FFFFFF"/>
        </w:rPr>
        <w:t>              </w:t>
      </w:r>
    </w:p>
    <w:p w14:paraId="3C9B72D9">
      <w:pPr>
        <w:pStyle w:val="20"/>
        <w:shd w:val="clear" w:color="auto" w:fill="FFFFFF"/>
        <w:bidi w:val="0"/>
        <w:spacing w:before="0" w:beforeLines="0" w:beforeAutospacing="0" w:after="0" w:afterLines="0" w:afterAutospacing="0" w:line="360" w:lineRule="auto"/>
        <w:jc w:val="both"/>
        <w:rPr>
          <w:rFonts w:hint="eastAsia" w:ascii="宋体" w:hAnsi="宋体" w:eastAsia="宋体" w:cs="宋体"/>
          <w:b/>
          <w:bCs/>
          <w:color w:val="auto"/>
          <w:spacing w:val="8"/>
          <w:sz w:val="21"/>
          <w:szCs w:val="21"/>
          <w:highlight w:val="none"/>
        </w:rPr>
      </w:pPr>
      <w:r>
        <w:rPr>
          <w:rFonts w:hint="eastAsia" w:ascii="宋体" w:hAnsi="宋体" w:eastAsia="宋体" w:cs="宋体"/>
          <w:b/>
          <w:bCs/>
          <w:color w:val="auto"/>
          <w:spacing w:val="8"/>
          <w:sz w:val="21"/>
          <w:szCs w:val="21"/>
          <w:highlight w:val="none"/>
          <w:shd w:val="clear" w:color="auto" w:fill="FFFFFF"/>
        </w:rPr>
        <w:t> </w:t>
      </w:r>
    </w:p>
    <w:p w14:paraId="38846BE1">
      <w:pPr>
        <w:bidi w:val="0"/>
        <w:rPr>
          <w:rFonts w:hint="eastAsia" w:ascii="宋体" w:hAnsi="宋体" w:eastAsia="宋体" w:cs="宋体"/>
          <w:color w:val="auto"/>
          <w:sz w:val="21"/>
          <w:szCs w:val="21"/>
          <w:highlight w:val="none"/>
        </w:rPr>
      </w:pPr>
    </w:p>
    <w:p w14:paraId="2F8A0E76">
      <w:pPr>
        <w:bidi w:val="0"/>
        <w:spacing w:line="360" w:lineRule="auto"/>
        <w:jc w:val="center"/>
        <w:rPr>
          <w:rFonts w:hint="eastAsia" w:ascii="宋体" w:hAnsi="宋体" w:eastAsia="宋体" w:cs="宋体"/>
          <w:color w:val="auto"/>
          <w:sz w:val="21"/>
          <w:szCs w:val="21"/>
          <w:highlight w:val="none"/>
        </w:rPr>
      </w:pPr>
    </w:p>
    <w:p w14:paraId="1AA49F35">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、供应商认为需要的</w:t>
      </w:r>
      <w:r>
        <w:rPr>
          <w:rFonts w:hint="eastAsia" w:ascii="宋体" w:hAnsi="宋体" w:eastAsia="宋体" w:cs="宋体"/>
          <w:b/>
          <w:color w:val="auto"/>
          <w:sz w:val="21"/>
          <w:szCs w:val="21"/>
          <w:highlight w:val="none"/>
          <w:lang w:eastAsia="zh-CN"/>
        </w:rPr>
        <w:t>其他</w:t>
      </w:r>
      <w:r>
        <w:rPr>
          <w:rFonts w:hint="eastAsia" w:ascii="宋体" w:hAnsi="宋体" w:eastAsia="宋体" w:cs="宋体"/>
          <w:b/>
          <w:color w:val="auto"/>
          <w:sz w:val="21"/>
          <w:szCs w:val="21"/>
          <w:highlight w:val="none"/>
        </w:rPr>
        <w:t>资料</w:t>
      </w:r>
    </w:p>
    <w:p w14:paraId="4E824F47">
      <w:pPr>
        <w:bidi w:val="0"/>
        <w:jc w:val="center"/>
        <w:rPr>
          <w:rFonts w:hint="eastAsia" w:ascii="宋体" w:hAnsi="宋体" w:eastAsia="宋体" w:cs="宋体"/>
          <w:b/>
          <w:bCs/>
          <w:color w:val="auto"/>
          <w:sz w:val="21"/>
          <w:szCs w:val="21"/>
          <w:highlight w:val="none"/>
          <w:lang w:val="en-US" w:eastAsia="zh-CN"/>
        </w:rPr>
      </w:pPr>
    </w:p>
    <w:p w14:paraId="164E5623">
      <w:pPr>
        <w:jc w:val="center"/>
        <w:rPr>
          <w:rFonts w:hint="eastAsia" w:ascii="宋体" w:hAnsi="宋体" w:eastAsia="宋体" w:cs="宋体"/>
          <w:b/>
          <w:bCs/>
          <w:color w:val="auto"/>
          <w:sz w:val="21"/>
          <w:szCs w:val="21"/>
          <w:highlight w:val="none"/>
          <w:lang w:val="en-US" w:eastAsia="zh-CN"/>
        </w:rPr>
      </w:pPr>
    </w:p>
    <w:p w14:paraId="52DD31CC">
      <w:pPr>
        <w:jc w:val="center"/>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供应商认为需要的</w:t>
      </w:r>
      <w:r>
        <w:rPr>
          <w:rFonts w:hint="eastAsia" w:ascii="宋体" w:hAnsi="宋体" w:eastAsia="宋体" w:cs="宋体"/>
          <w:b w:val="0"/>
          <w:bCs w:val="0"/>
          <w:color w:val="auto"/>
          <w:sz w:val="21"/>
          <w:szCs w:val="21"/>
          <w:highlight w:val="none"/>
          <w:lang w:eastAsia="zh-CN"/>
        </w:rPr>
        <w:t>其他</w:t>
      </w:r>
      <w:r>
        <w:rPr>
          <w:rFonts w:hint="eastAsia" w:ascii="宋体" w:hAnsi="宋体" w:eastAsia="宋体" w:cs="宋体"/>
          <w:b w:val="0"/>
          <w:bCs w:val="0"/>
          <w:color w:val="auto"/>
          <w:sz w:val="21"/>
          <w:szCs w:val="21"/>
          <w:highlight w:val="none"/>
        </w:rPr>
        <w:t>资料</w:t>
      </w:r>
      <w:r>
        <w:rPr>
          <w:rFonts w:hint="eastAsia" w:ascii="宋体" w:hAnsi="宋体" w:eastAsia="宋体" w:cs="宋体"/>
          <w:b w:val="0"/>
          <w:bCs w:val="0"/>
          <w:color w:val="auto"/>
          <w:sz w:val="21"/>
          <w:szCs w:val="21"/>
          <w:highlight w:val="none"/>
          <w:lang w:val="en-US" w:eastAsia="zh-CN"/>
        </w:rPr>
        <w:t>）</w:t>
      </w:r>
    </w:p>
    <w:p w14:paraId="0859E4AA">
      <w:pPr>
        <w:pStyle w:val="7"/>
        <w:spacing w:before="30"/>
        <w:rPr>
          <w:rFonts w:hint="eastAsia" w:ascii="宋体" w:hAnsi="宋体" w:eastAsia="宋体" w:cs="宋体"/>
          <w:b/>
          <w:bCs/>
          <w:color w:val="auto"/>
          <w:sz w:val="24"/>
          <w:szCs w:val="24"/>
          <w:highlight w:val="none"/>
        </w:rPr>
      </w:pPr>
    </w:p>
    <w:p w14:paraId="11A4BD2B">
      <w:pPr>
        <w:pStyle w:val="7"/>
        <w:spacing w:before="30"/>
        <w:rPr>
          <w:rFonts w:hint="eastAsia" w:ascii="宋体" w:hAnsi="宋体" w:eastAsia="宋体" w:cs="宋体"/>
          <w:b/>
          <w:bCs/>
          <w:color w:val="auto"/>
          <w:sz w:val="24"/>
          <w:szCs w:val="24"/>
          <w:highlight w:val="none"/>
        </w:rPr>
      </w:pPr>
    </w:p>
    <w:p w14:paraId="6645D466">
      <w:pPr>
        <w:pStyle w:val="7"/>
        <w:spacing w:before="30"/>
        <w:rPr>
          <w:rFonts w:hint="eastAsia" w:ascii="宋体" w:hAnsi="宋体" w:eastAsia="宋体" w:cs="宋体"/>
          <w:b/>
          <w:bCs/>
          <w:color w:val="auto"/>
          <w:sz w:val="24"/>
          <w:szCs w:val="24"/>
          <w:highlight w:val="none"/>
        </w:rPr>
      </w:pPr>
    </w:p>
    <w:p w14:paraId="06214E37">
      <w:pPr>
        <w:pStyle w:val="7"/>
        <w:spacing w:before="30"/>
        <w:rPr>
          <w:rFonts w:hint="eastAsia" w:ascii="宋体" w:hAnsi="宋体" w:eastAsia="宋体" w:cs="宋体"/>
          <w:b/>
          <w:bCs/>
          <w:color w:val="auto"/>
          <w:sz w:val="24"/>
          <w:szCs w:val="24"/>
          <w:highlight w:val="none"/>
        </w:rPr>
      </w:pPr>
    </w:p>
    <w:p w14:paraId="0A2D698B">
      <w:pPr>
        <w:pStyle w:val="7"/>
        <w:spacing w:before="30"/>
        <w:rPr>
          <w:rFonts w:hint="eastAsia" w:ascii="宋体" w:hAnsi="宋体" w:eastAsia="宋体" w:cs="宋体"/>
          <w:b/>
          <w:bCs/>
          <w:color w:val="auto"/>
          <w:sz w:val="24"/>
          <w:szCs w:val="24"/>
          <w:highlight w:val="none"/>
        </w:rPr>
      </w:pPr>
    </w:p>
    <w:p w14:paraId="0688F521">
      <w:pPr>
        <w:pStyle w:val="7"/>
        <w:spacing w:before="30"/>
        <w:rPr>
          <w:rFonts w:hint="eastAsia" w:ascii="宋体" w:hAnsi="宋体" w:eastAsia="宋体" w:cs="宋体"/>
          <w:b/>
          <w:bCs/>
          <w:color w:val="auto"/>
          <w:sz w:val="24"/>
          <w:szCs w:val="24"/>
          <w:highlight w:val="none"/>
        </w:rPr>
      </w:pPr>
    </w:p>
    <w:p w14:paraId="40591C6A">
      <w:pPr>
        <w:pStyle w:val="7"/>
        <w:spacing w:before="30"/>
        <w:rPr>
          <w:rFonts w:hint="eastAsia" w:ascii="宋体" w:hAnsi="宋体" w:eastAsia="宋体" w:cs="宋体"/>
          <w:b/>
          <w:bCs/>
          <w:color w:val="auto"/>
          <w:sz w:val="24"/>
          <w:szCs w:val="24"/>
          <w:highlight w:val="none"/>
        </w:rPr>
      </w:pPr>
    </w:p>
    <w:p w14:paraId="71251203">
      <w:pPr>
        <w:pStyle w:val="7"/>
        <w:spacing w:before="30"/>
        <w:rPr>
          <w:rFonts w:hint="eastAsia" w:ascii="宋体" w:hAnsi="宋体" w:eastAsia="宋体" w:cs="宋体"/>
          <w:b/>
          <w:bCs/>
          <w:color w:val="auto"/>
          <w:sz w:val="24"/>
          <w:szCs w:val="24"/>
          <w:highlight w:val="none"/>
        </w:rPr>
      </w:pPr>
    </w:p>
    <w:p w14:paraId="44ACB840">
      <w:pPr>
        <w:pStyle w:val="7"/>
        <w:spacing w:before="30"/>
        <w:rPr>
          <w:rFonts w:hint="eastAsia" w:ascii="宋体" w:hAnsi="宋体" w:eastAsia="宋体" w:cs="宋体"/>
          <w:b/>
          <w:bCs/>
          <w:color w:val="auto"/>
          <w:sz w:val="24"/>
          <w:szCs w:val="24"/>
          <w:highlight w:val="none"/>
        </w:rPr>
      </w:pPr>
    </w:p>
    <w:p w14:paraId="02E45C34">
      <w:pPr>
        <w:pStyle w:val="7"/>
        <w:spacing w:before="30"/>
        <w:rPr>
          <w:rFonts w:hint="eastAsia" w:ascii="宋体" w:hAnsi="宋体" w:eastAsia="宋体" w:cs="宋体"/>
          <w:b/>
          <w:bCs/>
          <w:color w:val="auto"/>
          <w:sz w:val="24"/>
          <w:szCs w:val="24"/>
          <w:highlight w:val="none"/>
        </w:rPr>
      </w:pPr>
    </w:p>
    <w:p w14:paraId="10597EA3">
      <w:pPr>
        <w:pStyle w:val="7"/>
        <w:spacing w:before="30"/>
        <w:rPr>
          <w:rFonts w:hint="eastAsia" w:ascii="宋体" w:hAnsi="宋体" w:eastAsia="宋体" w:cs="宋体"/>
          <w:b/>
          <w:bCs/>
          <w:color w:val="auto"/>
          <w:sz w:val="24"/>
          <w:szCs w:val="24"/>
          <w:highlight w:val="none"/>
        </w:rPr>
      </w:pPr>
    </w:p>
    <w:p w14:paraId="7F907F0D">
      <w:pPr>
        <w:pStyle w:val="7"/>
        <w:spacing w:before="30"/>
        <w:rPr>
          <w:rFonts w:hint="eastAsia" w:ascii="宋体" w:hAnsi="宋体" w:eastAsia="宋体" w:cs="宋体"/>
          <w:b/>
          <w:bCs/>
          <w:color w:val="auto"/>
          <w:sz w:val="24"/>
          <w:szCs w:val="24"/>
          <w:highlight w:val="none"/>
        </w:rPr>
      </w:pPr>
    </w:p>
    <w:p w14:paraId="29CAB357">
      <w:pPr>
        <w:pStyle w:val="7"/>
        <w:spacing w:before="30"/>
        <w:rPr>
          <w:rFonts w:hint="eastAsia" w:ascii="宋体" w:hAnsi="宋体" w:eastAsia="宋体" w:cs="宋体"/>
          <w:b/>
          <w:bCs/>
          <w:color w:val="auto"/>
          <w:sz w:val="24"/>
          <w:szCs w:val="24"/>
          <w:highlight w:val="none"/>
        </w:rPr>
      </w:pPr>
    </w:p>
    <w:p w14:paraId="48EC2486">
      <w:pPr>
        <w:pStyle w:val="7"/>
        <w:spacing w:before="30"/>
        <w:rPr>
          <w:rFonts w:hint="eastAsia" w:ascii="宋体" w:hAnsi="宋体" w:eastAsia="宋体" w:cs="宋体"/>
          <w:b/>
          <w:bCs/>
          <w:color w:val="auto"/>
          <w:sz w:val="24"/>
          <w:szCs w:val="24"/>
          <w:highlight w:val="none"/>
        </w:rPr>
      </w:pPr>
    </w:p>
    <w:p w14:paraId="0E096E39">
      <w:pPr>
        <w:pStyle w:val="7"/>
        <w:spacing w:before="30"/>
        <w:rPr>
          <w:rFonts w:hint="eastAsia" w:ascii="宋体" w:hAnsi="宋体" w:eastAsia="宋体" w:cs="宋体"/>
          <w:b/>
          <w:bCs/>
          <w:color w:val="auto"/>
          <w:sz w:val="24"/>
          <w:szCs w:val="24"/>
          <w:highlight w:val="none"/>
        </w:rPr>
      </w:pPr>
    </w:p>
    <w:p w14:paraId="59FE7ACD">
      <w:pPr>
        <w:pStyle w:val="7"/>
        <w:spacing w:before="30"/>
        <w:rPr>
          <w:rFonts w:hint="eastAsia" w:ascii="宋体" w:hAnsi="宋体" w:eastAsia="宋体" w:cs="宋体"/>
          <w:b/>
          <w:bCs/>
          <w:color w:val="auto"/>
          <w:sz w:val="24"/>
          <w:szCs w:val="24"/>
          <w:highlight w:val="none"/>
        </w:rPr>
      </w:pPr>
    </w:p>
    <w:p w14:paraId="40E4D31C">
      <w:pPr>
        <w:pStyle w:val="7"/>
        <w:spacing w:before="30"/>
        <w:rPr>
          <w:rFonts w:hint="eastAsia" w:ascii="宋体" w:hAnsi="宋体" w:eastAsia="宋体" w:cs="宋体"/>
          <w:b/>
          <w:bCs/>
          <w:color w:val="auto"/>
          <w:sz w:val="24"/>
          <w:szCs w:val="24"/>
          <w:highlight w:val="none"/>
        </w:rPr>
      </w:pPr>
    </w:p>
    <w:p w14:paraId="048C57D8">
      <w:pPr>
        <w:pStyle w:val="7"/>
        <w:spacing w:before="30"/>
        <w:rPr>
          <w:rFonts w:hint="eastAsia" w:ascii="宋体" w:hAnsi="宋体" w:eastAsia="宋体" w:cs="宋体"/>
          <w:b/>
          <w:bCs/>
          <w:color w:val="auto"/>
          <w:sz w:val="24"/>
          <w:szCs w:val="24"/>
          <w:highlight w:val="none"/>
        </w:rPr>
      </w:pPr>
    </w:p>
    <w:p w14:paraId="32D2F678">
      <w:pPr>
        <w:pStyle w:val="7"/>
        <w:spacing w:before="30"/>
        <w:rPr>
          <w:rFonts w:hint="eastAsia" w:ascii="宋体" w:hAnsi="宋体" w:eastAsia="宋体" w:cs="宋体"/>
          <w:b/>
          <w:bCs/>
          <w:color w:val="auto"/>
          <w:sz w:val="24"/>
          <w:szCs w:val="24"/>
          <w:highlight w:val="none"/>
        </w:rPr>
      </w:pPr>
    </w:p>
    <w:p w14:paraId="0B2EB7B7">
      <w:pPr>
        <w:pStyle w:val="7"/>
        <w:spacing w:before="30"/>
        <w:rPr>
          <w:rFonts w:hint="eastAsia" w:ascii="宋体" w:hAnsi="宋体" w:eastAsia="宋体" w:cs="宋体"/>
          <w:b/>
          <w:bCs/>
          <w:color w:val="auto"/>
          <w:sz w:val="24"/>
          <w:szCs w:val="24"/>
          <w:highlight w:val="none"/>
        </w:rPr>
      </w:pPr>
    </w:p>
    <w:p w14:paraId="0B4C7531">
      <w:pPr>
        <w:pStyle w:val="7"/>
        <w:spacing w:before="30"/>
        <w:rPr>
          <w:rFonts w:hint="eastAsia" w:ascii="宋体" w:hAnsi="宋体" w:eastAsia="宋体" w:cs="宋体"/>
          <w:b/>
          <w:bCs/>
          <w:color w:val="auto"/>
          <w:sz w:val="24"/>
          <w:szCs w:val="24"/>
          <w:highlight w:val="none"/>
        </w:rPr>
      </w:pPr>
    </w:p>
    <w:p w14:paraId="23609790">
      <w:pPr>
        <w:pStyle w:val="7"/>
        <w:spacing w:before="30"/>
        <w:rPr>
          <w:rFonts w:hint="eastAsia" w:ascii="宋体" w:hAnsi="宋体" w:eastAsia="宋体" w:cs="宋体"/>
          <w:b/>
          <w:bCs/>
          <w:color w:val="auto"/>
          <w:sz w:val="24"/>
          <w:szCs w:val="24"/>
          <w:highlight w:val="none"/>
        </w:rPr>
      </w:pPr>
    </w:p>
    <w:p w14:paraId="5589357A">
      <w:pPr>
        <w:pStyle w:val="7"/>
        <w:spacing w:before="30"/>
        <w:rPr>
          <w:rFonts w:hint="eastAsia" w:ascii="宋体" w:hAnsi="宋体" w:eastAsia="宋体" w:cs="宋体"/>
          <w:b/>
          <w:bCs/>
          <w:color w:val="auto"/>
          <w:sz w:val="24"/>
          <w:szCs w:val="24"/>
          <w:highlight w:val="none"/>
        </w:rPr>
      </w:pPr>
    </w:p>
    <w:p w14:paraId="045E5A36">
      <w:pPr>
        <w:pStyle w:val="7"/>
        <w:spacing w:before="30"/>
        <w:rPr>
          <w:rFonts w:hint="eastAsia" w:ascii="宋体" w:hAnsi="宋体" w:eastAsia="宋体" w:cs="宋体"/>
          <w:b/>
          <w:bCs/>
          <w:color w:val="auto"/>
          <w:sz w:val="24"/>
          <w:szCs w:val="24"/>
          <w:highlight w:val="none"/>
        </w:rPr>
      </w:pPr>
    </w:p>
    <w:p w14:paraId="2BFF164F">
      <w:pPr>
        <w:pStyle w:val="7"/>
        <w:spacing w:before="30"/>
        <w:rPr>
          <w:rFonts w:hint="eastAsia" w:ascii="宋体" w:hAnsi="宋体" w:eastAsia="宋体" w:cs="宋体"/>
          <w:b/>
          <w:bCs/>
          <w:color w:val="auto"/>
          <w:sz w:val="24"/>
          <w:szCs w:val="24"/>
          <w:highlight w:val="none"/>
        </w:rPr>
      </w:pPr>
    </w:p>
    <w:p w14:paraId="5D01B3BE">
      <w:pPr>
        <w:pStyle w:val="7"/>
        <w:spacing w:before="30"/>
        <w:rPr>
          <w:rFonts w:hint="eastAsia" w:ascii="宋体" w:hAnsi="宋体" w:eastAsia="宋体" w:cs="宋体"/>
          <w:b/>
          <w:bCs/>
          <w:color w:val="auto"/>
          <w:sz w:val="24"/>
          <w:szCs w:val="24"/>
          <w:highlight w:val="none"/>
        </w:rPr>
      </w:pPr>
    </w:p>
    <w:p w14:paraId="42BDF9BB">
      <w:pPr>
        <w:pStyle w:val="7"/>
        <w:spacing w:before="30"/>
        <w:rPr>
          <w:rFonts w:hint="eastAsia" w:ascii="宋体" w:hAnsi="宋体" w:eastAsia="宋体" w:cs="宋体"/>
          <w:b/>
          <w:bCs/>
          <w:color w:val="auto"/>
          <w:sz w:val="24"/>
          <w:szCs w:val="24"/>
          <w:highlight w:val="none"/>
        </w:rPr>
      </w:pPr>
    </w:p>
    <w:p w14:paraId="76045D06">
      <w:pPr>
        <w:pStyle w:val="7"/>
        <w:spacing w:before="30"/>
        <w:rPr>
          <w:rFonts w:hint="eastAsia" w:ascii="宋体" w:hAnsi="宋体" w:eastAsia="宋体" w:cs="宋体"/>
          <w:b/>
          <w:bCs/>
          <w:color w:val="auto"/>
          <w:sz w:val="24"/>
          <w:szCs w:val="24"/>
          <w:highlight w:val="none"/>
        </w:rPr>
      </w:pPr>
    </w:p>
    <w:p w14:paraId="2A5A566C">
      <w:pPr>
        <w:pStyle w:val="7"/>
        <w:spacing w:before="30"/>
        <w:rPr>
          <w:rFonts w:hint="eastAsia" w:ascii="宋体" w:hAnsi="宋体" w:eastAsia="宋体" w:cs="宋体"/>
          <w:b/>
          <w:bCs/>
          <w:color w:val="auto"/>
          <w:sz w:val="24"/>
          <w:szCs w:val="24"/>
          <w:highlight w:val="none"/>
        </w:rPr>
      </w:pPr>
    </w:p>
    <w:p w14:paraId="3DAEC6ED">
      <w:pPr>
        <w:pStyle w:val="7"/>
        <w:spacing w:before="30"/>
        <w:rPr>
          <w:rFonts w:hint="eastAsia" w:ascii="宋体" w:hAnsi="宋体" w:eastAsia="宋体" w:cs="宋体"/>
          <w:b/>
          <w:bCs/>
          <w:color w:val="auto"/>
          <w:sz w:val="24"/>
          <w:szCs w:val="24"/>
          <w:highlight w:val="none"/>
        </w:rPr>
      </w:pPr>
    </w:p>
    <w:p w14:paraId="6011D837">
      <w:pPr>
        <w:pStyle w:val="7"/>
        <w:spacing w:before="3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 ：</w:t>
      </w:r>
    </w:p>
    <w:p w14:paraId="7F4ABDF0">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河南省政府采购合同融资政策告知函</w:t>
      </w:r>
    </w:p>
    <w:p w14:paraId="283BEBDB">
      <w:pPr>
        <w:pStyle w:val="19"/>
        <w:numPr>
          <w:ilvl w:val="0"/>
          <w:numId w:val="0"/>
        </w:numPr>
        <w:jc w:val="center"/>
        <w:rPr>
          <w:rFonts w:hint="eastAsia" w:ascii="宋体" w:hAnsi="宋体" w:eastAsia="宋体" w:cs="宋体"/>
          <w:color w:val="auto"/>
          <w:sz w:val="28"/>
          <w:szCs w:val="28"/>
          <w:highlight w:val="none"/>
        </w:rPr>
      </w:pPr>
      <w:r>
        <w:rPr>
          <w:rFonts w:hint="eastAsia" w:ascii="宋体" w:hAnsi="宋体" w:eastAsia="宋体" w:cs="宋体"/>
          <w:b/>
          <w:bCs w:val="0"/>
          <w:color w:val="auto"/>
          <w:sz w:val="21"/>
          <w:szCs w:val="21"/>
          <w:highlight w:val="none"/>
          <w:lang w:val="en-US" w:eastAsia="zh-CN"/>
        </w:rPr>
        <w:t>（无需附入投标文件内）</w:t>
      </w:r>
    </w:p>
    <w:p w14:paraId="5E38269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286214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欢迎贵公司参与河南省政府采购活动！</w:t>
      </w:r>
    </w:p>
    <w:p w14:paraId="6A594C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CF9F38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贷款渠道和提供贷款的金融机构，可在河南省政府采购网“河南省政府采购合同融资平台”查询联系。政策解读网址：http://www.hngp.gov.cn/henan/content?infoId=1601449567470800&amp;channelCode=H6016</w:t>
      </w:r>
    </w:p>
    <w:p w14:paraId="289B3B1F">
      <w:pPr>
        <w:pStyle w:val="8"/>
        <w:rPr>
          <w:rFonts w:hint="eastAsia" w:ascii="宋体" w:hAnsi="宋体" w:eastAsia="宋体" w:cs="宋体"/>
          <w:color w:val="auto"/>
          <w:highlight w:val="none"/>
        </w:rPr>
      </w:pPr>
    </w:p>
    <w:p w14:paraId="0A71CFB0">
      <w:pPr>
        <w:pStyle w:val="22"/>
        <w:ind w:firstLine="480"/>
        <w:rPr>
          <w:rFonts w:hint="eastAsia" w:ascii="宋体" w:hAnsi="宋体" w:eastAsia="宋体" w:cs="宋体"/>
          <w:color w:val="auto"/>
          <w:sz w:val="24"/>
          <w:szCs w:val="24"/>
          <w:highlight w:val="none"/>
        </w:rPr>
      </w:pPr>
    </w:p>
    <w:p w14:paraId="48C8EB61">
      <w:pPr>
        <w:rPr>
          <w:rFonts w:hint="eastAsia" w:ascii="宋体" w:hAnsi="宋体" w:eastAsia="宋体" w:cs="宋体"/>
          <w:highlight w:val="none"/>
        </w:rPr>
      </w:pPr>
    </w:p>
    <w:sectPr>
      <w:headerReference r:id="rId14" w:type="first"/>
      <w:footerReference r:id="rId16" w:type="first"/>
      <w:headerReference r:id="rId13" w:type="default"/>
      <w:footerReference r:id="rId15" w:type="default"/>
      <w:pgSz w:w="11907" w:h="16840"/>
      <w:pgMar w:top="1418" w:right="1134" w:bottom="1134" w:left="1418" w:header="964" w:footer="850"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FC3F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FB3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4265">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AF59FF">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DAF59FF">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1307">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7D46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B1111">
    <w:pPr>
      <w:pStyle w:val="14"/>
      <w:rPr>
        <w:rFonts w:hint="default"/>
        <w:lang w:val="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22F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B281D">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8620A">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394B1">
    <w:pPr>
      <w:spacing w:line="360" w:lineRule="auto"/>
      <w:jc w:val="left"/>
      <w:rPr>
        <w:rFonts w:hint="eastAsia" w:ascii="宋体" w:hAnsi="宋体" w:eastAsia="楷体"/>
        <w:u w:val="single"/>
        <w:lang w:val="en-US" w:eastAsia="zh-CN"/>
      </w:rPr>
    </w:pPr>
  </w:p>
  <w:p w14:paraId="3AAEDE0A">
    <w:pPr>
      <w:pStyle w:val="7"/>
      <w:spacing w:line="14"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C303B">
    <w:pPr>
      <w:pStyle w:val="7"/>
      <w:spacing w:line="14"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DC4B">
    <w:pPr>
      <w:spacing w:line="360" w:lineRule="auto"/>
      <w:jc w:val="left"/>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91D0B">
    <w:pPr>
      <w:spacing w:line="360" w:lineRule="auto"/>
      <w:jc w:val="left"/>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E81A">
    <w:pPr>
      <w:spacing w:line="360" w:lineRule="auto"/>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08322"/>
    <w:multiLevelType w:val="singleLevel"/>
    <w:tmpl w:val="B5E08322"/>
    <w:lvl w:ilvl="0" w:tentative="0">
      <w:start w:val="1"/>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2">
    <w:nsid w:val="0BF608F4"/>
    <w:multiLevelType w:val="multilevel"/>
    <w:tmpl w:val="0BF608F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3773B7C"/>
    <w:multiLevelType w:val="singleLevel"/>
    <w:tmpl w:val="23773B7C"/>
    <w:lvl w:ilvl="0" w:tentative="0">
      <w:start w:val="1"/>
      <w:numFmt w:val="chineseCounting"/>
      <w:suff w:val="nothing"/>
      <w:lvlText w:val="（%1）"/>
      <w:lvlJc w:val="left"/>
      <w:rPr>
        <w:rFonts w:hint="eastAsia"/>
      </w:rPr>
    </w:lvl>
  </w:abstractNum>
  <w:abstractNum w:abstractNumId="4">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5">
    <w:nsid w:val="711A7290"/>
    <w:multiLevelType w:val="singleLevel"/>
    <w:tmpl w:val="711A7290"/>
    <w:lvl w:ilvl="0" w:tentative="0">
      <w:start w:val="9"/>
      <w:numFmt w:val="chineseCounting"/>
      <w:suff w:val="nothing"/>
      <w:lvlText w:val="%1、"/>
      <w:lvlJc w:val="left"/>
      <w:rPr>
        <w:rFonts w:hint="eastAsia"/>
      </w:rPr>
    </w:lvl>
  </w:abstractNum>
  <w:num w:numId="1">
    <w:abstractNumId w:val="5"/>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zYmIzZGQ4OGE1ZTk2NmRlZTJlNDM1ZTkwNGUyOWQifQ=="/>
  </w:docVars>
  <w:rsids>
    <w:rsidRoot w:val="0A4F5572"/>
    <w:rsid w:val="017B2F92"/>
    <w:rsid w:val="02F13F24"/>
    <w:rsid w:val="03201544"/>
    <w:rsid w:val="036C6A8A"/>
    <w:rsid w:val="041E65B2"/>
    <w:rsid w:val="04906AFB"/>
    <w:rsid w:val="06F2019A"/>
    <w:rsid w:val="07574637"/>
    <w:rsid w:val="08BD7337"/>
    <w:rsid w:val="0A674CCF"/>
    <w:rsid w:val="0AAF2772"/>
    <w:rsid w:val="0AB13EC9"/>
    <w:rsid w:val="0C781676"/>
    <w:rsid w:val="0C7B653C"/>
    <w:rsid w:val="0D5C11DD"/>
    <w:rsid w:val="101248F0"/>
    <w:rsid w:val="14E91D74"/>
    <w:rsid w:val="15205ED3"/>
    <w:rsid w:val="15B50D11"/>
    <w:rsid w:val="15D54F0F"/>
    <w:rsid w:val="17AA5A8B"/>
    <w:rsid w:val="18FC5F33"/>
    <w:rsid w:val="19E219A9"/>
    <w:rsid w:val="1AEE0821"/>
    <w:rsid w:val="1AFD3CDC"/>
    <w:rsid w:val="1B78515D"/>
    <w:rsid w:val="1C766D20"/>
    <w:rsid w:val="1D5030CD"/>
    <w:rsid w:val="1D856CFB"/>
    <w:rsid w:val="1F503858"/>
    <w:rsid w:val="207D4DD2"/>
    <w:rsid w:val="208308AE"/>
    <w:rsid w:val="21E140A1"/>
    <w:rsid w:val="21FE134A"/>
    <w:rsid w:val="22A55342"/>
    <w:rsid w:val="24AB1378"/>
    <w:rsid w:val="24CD6840"/>
    <w:rsid w:val="25300011"/>
    <w:rsid w:val="268C34ED"/>
    <w:rsid w:val="269009DE"/>
    <w:rsid w:val="27574053"/>
    <w:rsid w:val="27B65D02"/>
    <w:rsid w:val="2A0120C5"/>
    <w:rsid w:val="2B4F0E68"/>
    <w:rsid w:val="2BD315E6"/>
    <w:rsid w:val="2F0D7070"/>
    <w:rsid w:val="300C5653"/>
    <w:rsid w:val="305C3CA4"/>
    <w:rsid w:val="307D0120"/>
    <w:rsid w:val="30E600A7"/>
    <w:rsid w:val="34D101EC"/>
    <w:rsid w:val="36A57B46"/>
    <w:rsid w:val="36B87C32"/>
    <w:rsid w:val="36CA3A99"/>
    <w:rsid w:val="37E40B8A"/>
    <w:rsid w:val="3A0658B3"/>
    <w:rsid w:val="3A7312F0"/>
    <w:rsid w:val="3B8B2C7D"/>
    <w:rsid w:val="3D2A5CA6"/>
    <w:rsid w:val="3D4D6C5A"/>
    <w:rsid w:val="3DA731A6"/>
    <w:rsid w:val="3F626F64"/>
    <w:rsid w:val="41F06AA9"/>
    <w:rsid w:val="424A366D"/>
    <w:rsid w:val="44112D07"/>
    <w:rsid w:val="44B80CCA"/>
    <w:rsid w:val="46181559"/>
    <w:rsid w:val="4A8E69EB"/>
    <w:rsid w:val="4C2E47AE"/>
    <w:rsid w:val="4CC50B32"/>
    <w:rsid w:val="4D021D86"/>
    <w:rsid w:val="4E174162"/>
    <w:rsid w:val="4E6D7518"/>
    <w:rsid w:val="4FB355BA"/>
    <w:rsid w:val="4FF778B2"/>
    <w:rsid w:val="50384E45"/>
    <w:rsid w:val="546C0146"/>
    <w:rsid w:val="54F75F49"/>
    <w:rsid w:val="580166A7"/>
    <w:rsid w:val="580A39ED"/>
    <w:rsid w:val="58AC448F"/>
    <w:rsid w:val="5AE34FA5"/>
    <w:rsid w:val="5B7D2977"/>
    <w:rsid w:val="5BAA7871"/>
    <w:rsid w:val="5C7873E0"/>
    <w:rsid w:val="5D832C2F"/>
    <w:rsid w:val="5E213479"/>
    <w:rsid w:val="5F426A68"/>
    <w:rsid w:val="61E36A77"/>
    <w:rsid w:val="63FC7559"/>
    <w:rsid w:val="65301130"/>
    <w:rsid w:val="67A45263"/>
    <w:rsid w:val="680047F1"/>
    <w:rsid w:val="69DB4F4A"/>
    <w:rsid w:val="6A464C09"/>
    <w:rsid w:val="6E8A7C79"/>
    <w:rsid w:val="6F9D39F9"/>
    <w:rsid w:val="70D33AF0"/>
    <w:rsid w:val="741A185D"/>
    <w:rsid w:val="78967EE6"/>
    <w:rsid w:val="79C124FE"/>
    <w:rsid w:val="7B227BB2"/>
    <w:rsid w:val="7BA479E1"/>
    <w:rsid w:val="7C2428D0"/>
    <w:rsid w:val="7C4539BD"/>
    <w:rsid w:val="7E037069"/>
    <w:rsid w:val="7E44701F"/>
    <w:rsid w:val="7F911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jc w:val="center"/>
      <w:outlineLvl w:val="0"/>
    </w:pPr>
    <w:rPr>
      <w:b/>
      <w:bCs/>
      <w:color w:val="000000"/>
      <w:kern w:val="0"/>
      <w:sz w:val="32"/>
      <w:szCs w:val="20"/>
    </w:rPr>
  </w:style>
  <w:style w:type="paragraph" w:styleId="3">
    <w:name w:val="heading 2"/>
    <w:basedOn w:val="1"/>
    <w:next w:val="1"/>
    <w:qFormat/>
    <w:uiPriority w:val="0"/>
    <w:pPr>
      <w:keepNext/>
      <w:keepLines/>
      <w:spacing w:after="0" w:afterLines="0" w:line="460" w:lineRule="exact"/>
      <w:outlineLvl w:val="1"/>
    </w:pPr>
    <w:rPr>
      <w:rFonts w:ascii="宋体" w:hAnsi="宋体"/>
      <w:b/>
      <w:kern w:val="0"/>
      <w:sz w:val="30"/>
      <w:szCs w:val="30"/>
    </w:rPr>
  </w:style>
  <w:style w:type="paragraph" w:styleId="4">
    <w:name w:val="heading 4"/>
    <w:basedOn w:val="1"/>
    <w:next w:val="1"/>
    <w:qFormat/>
    <w:uiPriority w:val="0"/>
    <w:pPr>
      <w:keepNext/>
      <w:keepLines/>
      <w:spacing w:line="360" w:lineRule="auto"/>
      <w:outlineLvl w:val="3"/>
    </w:pPr>
    <w:rPr>
      <w:rFonts w:ascii="Arial" w:hAnsi="Arial"/>
      <w:b/>
      <w:bCs/>
      <w:kern w:val="0"/>
      <w:sz w:val="30"/>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Body Text 3"/>
    <w:basedOn w:val="1"/>
    <w:qFormat/>
    <w:uiPriority w:val="99"/>
    <w:rPr>
      <w:rFonts w:ascii="宋体"/>
      <w:kern w:val="0"/>
      <w:sz w:val="24"/>
      <w:szCs w:val="20"/>
    </w:rPr>
  </w:style>
  <w:style w:type="paragraph" w:styleId="7">
    <w:name w:val="Body Text"/>
    <w:basedOn w:val="1"/>
    <w:next w:val="8"/>
    <w:qFormat/>
    <w:uiPriority w:val="0"/>
    <w:pPr>
      <w:spacing w:after="120" w:afterLines="0"/>
    </w:pPr>
    <w:rPr>
      <w:kern w:val="0"/>
      <w:sz w:val="20"/>
      <w:szCs w:val="20"/>
    </w:rPr>
  </w:style>
  <w:style w:type="paragraph" w:customStyle="1" w:styleId="8">
    <w:name w:val="Default"/>
    <w:basedOn w:val="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Plain Text"/>
    <w:basedOn w:val="1"/>
    <w:next w:val="7"/>
    <w:autoRedefine/>
    <w:qFormat/>
    <w:uiPriority w:val="99"/>
    <w:rPr>
      <w:rFonts w:ascii="宋体" w:hAnsi="Courier New"/>
      <w:kern w:val="0"/>
      <w:sz w:val="20"/>
      <w:szCs w:val="20"/>
    </w:rPr>
  </w:style>
  <w:style w:type="paragraph" w:styleId="10">
    <w:name w:val="Body Text Indent"/>
    <w:basedOn w:val="1"/>
    <w:next w:val="11"/>
    <w:qFormat/>
    <w:uiPriority w:val="0"/>
    <w:pPr>
      <w:spacing w:line="312" w:lineRule="auto"/>
      <w:ind w:firstLine="735" w:firstLineChars="245"/>
    </w:pPr>
    <w:rPr>
      <w:kern w:val="0"/>
      <w:sz w:val="30"/>
      <w:szCs w:val="20"/>
    </w:rPr>
  </w:style>
  <w:style w:type="paragraph" w:styleId="11">
    <w:name w:val="envelope return"/>
    <w:basedOn w:val="1"/>
    <w:autoRedefine/>
    <w:qFormat/>
    <w:uiPriority w:val="0"/>
    <w:pPr>
      <w:snapToGrid w:val="0"/>
    </w:pPr>
    <w:rPr>
      <w:rFonts w:ascii="Arial" w:hAnsi="Arial"/>
    </w:rPr>
  </w:style>
  <w:style w:type="paragraph" w:styleId="12">
    <w:name w:val="List 2"/>
    <w:basedOn w:val="1"/>
    <w:autoRedefine/>
    <w:qFormat/>
    <w:uiPriority w:val="0"/>
    <w:pPr>
      <w:ind w:left="100" w:leftChars="200" w:hanging="200" w:hangingChars="200"/>
    </w:pPr>
    <w:rPr>
      <w:rFonts w:ascii="Times New Roman" w:hAnsi="Times New Roman" w:eastAsia="宋体" w:cs="Times New Roman"/>
      <w:szCs w:val="24"/>
    </w:rPr>
  </w:style>
  <w:style w:type="paragraph" w:styleId="13">
    <w:name w:val="Date"/>
    <w:basedOn w:val="1"/>
    <w:next w:val="1"/>
    <w:autoRedefine/>
    <w:qFormat/>
    <w:uiPriority w:val="0"/>
    <w:pPr>
      <w:ind w:left="100" w:leftChars="2500"/>
    </w:pPr>
    <w:rPr>
      <w:kern w:val="0"/>
      <w:sz w:val="30"/>
      <w:szCs w:val="20"/>
    </w:rPr>
  </w:style>
  <w:style w:type="paragraph" w:styleId="14">
    <w:name w:val="footer"/>
    <w:basedOn w:val="1"/>
    <w:autoRedefine/>
    <w:unhideWhenUsed/>
    <w:qFormat/>
    <w:uiPriority w:val="0"/>
    <w:pPr>
      <w:tabs>
        <w:tab w:val="center" w:pos="4153"/>
        <w:tab w:val="right" w:pos="8306"/>
      </w:tabs>
      <w:snapToGrid w:val="0"/>
      <w:jc w:val="left"/>
    </w:pPr>
    <w:rPr>
      <w:kern w:val="0"/>
      <w:sz w:val="18"/>
      <w:szCs w:val="18"/>
    </w:rPr>
  </w:style>
  <w:style w:type="paragraph" w:styleId="15">
    <w:name w:val="header"/>
    <w:basedOn w:val="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Signature"/>
    <w:basedOn w:val="1"/>
    <w:autoRedefine/>
    <w:qFormat/>
    <w:uiPriority w:val="0"/>
    <w:pPr>
      <w:ind w:left="2100" w:leftChars="2100"/>
    </w:pPr>
  </w:style>
  <w:style w:type="paragraph" w:styleId="17">
    <w:name w:val="toc 1"/>
    <w:basedOn w:val="1"/>
    <w:next w:val="1"/>
    <w:autoRedefine/>
    <w:qFormat/>
    <w:uiPriority w:val="39"/>
    <w:pPr>
      <w:spacing w:before="120" w:beforeLines="0" w:after="120" w:afterLines="0"/>
      <w:jc w:val="left"/>
    </w:pPr>
    <w:rPr>
      <w:rFonts w:ascii="Times New Roman" w:hAnsi="Times New Roman"/>
      <w:b/>
      <w:bCs/>
      <w:caps/>
      <w:sz w:val="20"/>
      <w:szCs w:val="20"/>
    </w:rPr>
  </w:style>
  <w:style w:type="paragraph" w:styleId="18">
    <w:name w:val="List"/>
    <w:basedOn w:val="1"/>
    <w:autoRedefine/>
    <w:qFormat/>
    <w:uiPriority w:val="99"/>
    <w:pPr>
      <w:ind w:left="420" w:hanging="420"/>
    </w:pPr>
    <w:rPr>
      <w:rFonts w:ascii="Times New Roman" w:hAnsi="Times New Roman" w:eastAsia="楷体_GB2312" w:cs="Times New Roman"/>
      <w:sz w:val="32"/>
      <w:szCs w:val="20"/>
    </w:rPr>
  </w:style>
  <w:style w:type="paragraph" w:styleId="19">
    <w:name w:val="Body Text 2"/>
    <w:basedOn w:val="1"/>
    <w:qFormat/>
    <w:uiPriority w:val="99"/>
    <w:pPr>
      <w:spacing w:after="120" w:afterLines="0" w:line="480" w:lineRule="auto"/>
    </w:pPr>
    <w:rPr>
      <w:kern w:val="0"/>
      <w:sz w:val="20"/>
      <w:szCs w:val="20"/>
    </w:rPr>
  </w:style>
  <w:style w:type="paragraph" w:styleId="20">
    <w:name w:val="Normal (Web)"/>
    <w:basedOn w:val="1"/>
    <w:autoRedefine/>
    <w:qFormat/>
    <w:uiPriority w:val="0"/>
    <w:pPr>
      <w:widowControl/>
      <w:spacing w:before="100" w:beforeLines="0" w:beforeAutospacing="1" w:after="100" w:afterLines="0" w:afterAutospacing="1"/>
      <w:jc w:val="left"/>
    </w:pPr>
    <w:rPr>
      <w:rFonts w:ascii="宋体" w:hAnsi="宋体"/>
      <w:kern w:val="0"/>
      <w:sz w:val="24"/>
      <w:szCs w:val="24"/>
    </w:rPr>
  </w:style>
  <w:style w:type="paragraph" w:styleId="21">
    <w:name w:val="Body Text First Indent"/>
    <w:basedOn w:val="7"/>
    <w:autoRedefine/>
    <w:qFormat/>
    <w:uiPriority w:val="0"/>
    <w:pPr>
      <w:ind w:firstLine="420" w:firstLineChars="100"/>
    </w:pPr>
    <w:rPr>
      <w:kern w:val="2"/>
      <w:sz w:val="21"/>
      <w:lang w:val="en-US" w:eastAsia="zh-CN"/>
    </w:rPr>
  </w:style>
  <w:style w:type="paragraph" w:styleId="22">
    <w:name w:val="Body Text First Indent 2"/>
    <w:basedOn w:val="10"/>
    <w:next w:val="1"/>
    <w:autoRedefine/>
    <w:qFormat/>
    <w:uiPriority w:val="0"/>
    <w:pPr>
      <w:spacing w:after="120" w:afterLines="0" w:line="240" w:lineRule="auto"/>
      <w:ind w:left="420" w:leftChars="200" w:firstLine="420" w:firstLineChars="200"/>
    </w:pPr>
  </w:style>
  <w:style w:type="table" w:styleId="24">
    <w:name w:val="Table Grid"/>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首行缩进"/>
    <w:basedOn w:val="1"/>
    <w:autoRedefine/>
    <w:qFormat/>
    <w:uiPriority w:val="0"/>
    <w:pPr>
      <w:spacing w:line="360" w:lineRule="auto"/>
      <w:ind w:firstLine="480" w:firstLineChars="200"/>
      <w:jc w:val="left"/>
    </w:pPr>
    <w:rPr>
      <w:rFonts w:ascii="宋体" w:hAnsi="宋体"/>
      <w:sz w:val="24"/>
    </w:rPr>
  </w:style>
  <w:style w:type="paragraph" w:customStyle="1" w:styleId="27">
    <w:name w:val="*正文"/>
    <w:basedOn w:val="1"/>
    <w:next w:val="1"/>
    <w:autoRedefine/>
    <w:qFormat/>
    <w:uiPriority w:val="0"/>
    <w:pPr>
      <w:widowControl/>
      <w:ind w:firstLine="482"/>
    </w:pPr>
    <w:rPr>
      <w:rFonts w:ascii="微软雅黑" w:hAnsi="微软雅黑" w:eastAsia="微软雅黑"/>
      <w:sz w:val="21"/>
    </w:rPr>
  </w:style>
  <w:style w:type="paragraph" w:customStyle="1" w:styleId="28">
    <w:name w:val="Table Paragraph"/>
    <w:basedOn w:val="1"/>
    <w:autoRedefine/>
    <w:qFormat/>
    <w:uiPriority w:val="1"/>
    <w:rPr>
      <w:rFonts w:ascii="宋体" w:hAnsi="宋体" w:eastAsia="宋体" w:cs="宋体"/>
      <w:lang w:val="zh-CN" w:eastAsia="zh-CN" w:bidi="zh-CN"/>
    </w:rPr>
  </w:style>
  <w:style w:type="paragraph" w:styleId="29">
    <w:name w:val="List Paragraph"/>
    <w:basedOn w:val="1"/>
    <w:next w:val="1"/>
    <w:autoRedefine/>
    <w:qFormat/>
    <w:uiPriority w:val="34"/>
    <w:pPr>
      <w:ind w:firstLine="420" w:firstLineChars="200"/>
    </w:pPr>
    <w:rPr>
      <w:kern w:val="0"/>
      <w:sz w:val="20"/>
      <w:szCs w:val="24"/>
    </w:rPr>
  </w:style>
  <w:style w:type="paragraph" w:customStyle="1" w:styleId="30">
    <w:name w:val="JSFA 模板正文"/>
    <w:basedOn w:val="1"/>
    <w:autoRedefine/>
    <w:qFormat/>
    <w:uiPriority w:val="0"/>
    <w:pPr>
      <w:widowControl/>
      <w:spacing w:line="360" w:lineRule="auto"/>
      <w:ind w:firstLine="200" w:firstLineChars="200"/>
      <w:jc w:val="left"/>
    </w:pPr>
    <w:rPr>
      <w:rFonts w:ascii="Times New Roman" w:hAnsi="Times New Roman"/>
      <w:sz w:val="24"/>
      <w:szCs w:val="24"/>
    </w:rPr>
  </w:style>
  <w:style w:type="paragraph" w:customStyle="1" w:styleId="31">
    <w:name w:val="表"/>
    <w:basedOn w:val="18"/>
    <w:autoRedefine/>
    <w:qFormat/>
    <w:uiPriority w:val="0"/>
    <w:pPr>
      <w:spacing w:line="240" w:lineRule="atLeast"/>
      <w:ind w:left="0" w:firstLine="0"/>
    </w:pPr>
    <w:rPr>
      <w:rFonts w:eastAsia="宋体"/>
      <w:kern w:val="24"/>
      <w:sz w:val="24"/>
      <w:szCs w:val="24"/>
    </w:rPr>
  </w:style>
  <w:style w:type="paragraph" w:customStyle="1" w:styleId="32">
    <w:name w:val="正文 New"/>
    <w:autoRedefine/>
    <w:qFormat/>
    <w:uiPriority w:val="0"/>
    <w:pPr>
      <w:widowControl w:val="0"/>
      <w:shd w:val="clear" w:color="auto" w:fill="FFFFFF"/>
      <w:snapToGrid w:val="0"/>
      <w:spacing w:line="360" w:lineRule="auto"/>
      <w:jc w:val="both"/>
    </w:pPr>
    <w:rPr>
      <w:rFonts w:ascii="宋体" w:hAnsi="宋体" w:eastAsia="宋体" w:cs="宋体"/>
      <w:kern w:val="2"/>
      <w:sz w:val="21"/>
      <w:szCs w:val="21"/>
      <w:lang w:val="en-US" w:eastAsia="zh-CN" w:bidi="ar-SA"/>
    </w:rPr>
  </w:style>
  <w:style w:type="paragraph" w:customStyle="1" w:styleId="33">
    <w:name w:val="_Style 2"/>
    <w:basedOn w:val="1"/>
    <w:next w:val="1"/>
    <w:autoRedefine/>
    <w:qFormat/>
    <w:uiPriority w:val="0"/>
    <w:pPr>
      <w:ind w:firstLine="420" w:firstLineChars="200"/>
    </w:pPr>
    <w:rPr>
      <w:rFonts w:ascii="Calibri" w:hAnsi="Calibri" w:eastAsia="宋体" w:cs="Times New Roman"/>
      <w:szCs w:val="22"/>
    </w:rPr>
  </w:style>
  <w:style w:type="paragraph" w:customStyle="1" w:styleId="34">
    <w:name w:val="Char Char10 Char Char Char Char"/>
    <w:basedOn w:val="1"/>
    <w:next w:val="35"/>
    <w:autoRedefine/>
    <w:qFormat/>
    <w:uiPriority w:val="0"/>
    <w:rPr>
      <w:rFonts w:ascii="Calibri" w:hAnsi="Calibri"/>
      <w:kern w:val="0"/>
    </w:rPr>
  </w:style>
  <w:style w:type="paragraph" w:customStyle="1" w:styleId="35">
    <w:name w:val="xl87"/>
    <w:basedOn w:val="1"/>
    <w:next w:val="36"/>
    <w:autoRedefine/>
    <w:qFormat/>
    <w:uiPriority w:val="0"/>
    <w:pPr>
      <w:widowControl/>
      <w:shd w:val="clear" w:color="FFFFFF" w:fill="FFFFFF"/>
      <w:spacing w:before="280" w:after="280"/>
      <w:jc w:val="right"/>
    </w:pPr>
    <w:rPr>
      <w:rFonts w:ascii="宋体" w:hAnsi="Calibri"/>
      <w:kern w:val="0"/>
      <w:sz w:val="24"/>
    </w:rPr>
  </w:style>
  <w:style w:type="paragraph" w:customStyle="1" w:styleId="36">
    <w:name w:val="xl72"/>
    <w:basedOn w:val="1"/>
    <w:next w:val="13"/>
    <w:qFormat/>
    <w:uiPriority w:val="0"/>
    <w:pPr>
      <w:widowControl/>
      <w:shd w:val="clear" w:color="FFFFFF" w:fill="FFFFFF"/>
      <w:spacing w:before="280" w:after="280"/>
      <w:jc w:val="right"/>
    </w:pPr>
    <w:rPr>
      <w:rFonts w:ascii="宋体" w:hAnsi="Calibri"/>
      <w:kern w:val="0"/>
      <w:sz w:val="24"/>
    </w:rPr>
  </w:style>
  <w:style w:type="paragraph" w:customStyle="1" w:styleId="37">
    <w:name w:val="正文_0"/>
    <w:next w:val="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文本_0"/>
    <w:basedOn w:val="37"/>
    <w:next w:val="19"/>
    <w:autoRedefine/>
    <w:unhideWhenUsed/>
    <w:qFormat/>
    <w:uiPriority w:val="99"/>
    <w:pPr>
      <w:spacing w:after="120"/>
    </w:pPr>
  </w:style>
  <w:style w:type="paragraph" w:customStyle="1" w:styleId="39">
    <w:name w:val="列出段落1"/>
    <w:basedOn w:val="1"/>
    <w:qFormat/>
    <w:uiPriority w:val="0"/>
    <w:pPr>
      <w:ind w:firstLine="420" w:firstLineChars="200"/>
    </w:pPr>
    <w:rPr>
      <w:rFonts w:ascii="Times New Roman" w:hAnsi="Times New Roman" w:eastAsia="宋体" w:cs="Times New Roman"/>
      <w:szCs w:val="24"/>
    </w:rPr>
  </w:style>
  <w:style w:type="paragraph" w:customStyle="1" w:styleId="40">
    <w:name w:val="Plain Text"/>
    <w:basedOn w:val="1"/>
    <w:qFormat/>
    <w:uiPriority w:val="0"/>
    <w:pPr>
      <w:adjustRightInd w:val="0"/>
      <w:textAlignment w:val="baseline"/>
    </w:pPr>
    <w:rPr>
      <w:rFonts w:ascii="宋体" w:hAnsi="Courier New" w:eastAsia="楷体_GB2312" w:cs="Times New Roman"/>
      <w:kern w:val="2"/>
      <w:sz w:val="26"/>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20744</Words>
  <Characters>22420</Characters>
  <Lines>0</Lines>
  <Paragraphs>0</Paragraphs>
  <TotalTime>14</TotalTime>
  <ScaleCrop>false</ScaleCrop>
  <LinksUpToDate>false</LinksUpToDate>
  <CharactersWithSpaces>23214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2023-08-01T02:03:00Z</dcterms:created>
  <dc:creator></dc:creator>
  <cp:lastModifiedBy>NTKO</cp:lastModifiedBy>
  <cp:lastPrinted>2026-02-12T01:14:00Z</cp:lastPrinted>
  <dcterms:modified xsi:type="dcterms:W3CDTF">2026-02-13T02:38:38Z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50CC319AA0934E379E4392A44D78E7D9_13</vt:lpwstr>
  </property>
  <property fmtid="{D5CDD505-2E9C-101B-9397-08002B2CF9AE}" pid="4" name="KSOTemplateDocerSaveRecord">
    <vt:lpwstr>eyJoZGlkIjoiZjZmYjc5ZTI5ZWU3OWI3NWIwMDRiOWM4ODYwNWNjNjQiLCJ1c2VySWQiOiIyMDg5NDIxNDAifQ==</vt:lpwstr>
  </property>
</Properties>
</file>