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widowControl/>
        <w:jc w:val="center"/>
        <w:rPr>
          <w:b/>
          <w:sz w:val="32"/>
          <w:szCs w:val="32"/>
        </w:rPr>
      </w:pPr>
    </w:p>
    <w:p>
      <w:pPr>
        <w:widowControl/>
        <w:jc w:val="center"/>
        <w:rPr>
          <w:b/>
          <w:sz w:val="36"/>
          <w:szCs w:val="36"/>
        </w:rPr>
      </w:pPr>
      <w:r>
        <w:rPr>
          <w:rFonts w:hint="eastAsia"/>
          <w:b/>
          <w:sz w:val="36"/>
          <w:szCs w:val="36"/>
        </w:rPr>
        <w:t>郑州市第六十五中学实验室、录播室、学科教室、班级灯光设施设备采购项目</w:t>
      </w:r>
    </w:p>
    <w:p>
      <w:pPr>
        <w:widowControl/>
        <w:jc w:val="center"/>
        <w:rPr>
          <w:b/>
          <w:sz w:val="44"/>
          <w:szCs w:val="44"/>
        </w:rPr>
      </w:pPr>
      <w:r>
        <w:rPr>
          <w:rFonts w:hint="eastAsia"/>
          <w:b/>
          <w:sz w:val="32"/>
          <w:szCs w:val="44"/>
        </w:rPr>
        <w:t>A包：实验室设备、录播室设备</w:t>
      </w:r>
    </w:p>
    <w:p>
      <w:pPr>
        <w:widowControl/>
        <w:jc w:val="center"/>
        <w:rPr>
          <w:b/>
          <w:sz w:val="44"/>
          <w:szCs w:val="44"/>
        </w:rPr>
      </w:pPr>
    </w:p>
    <w:p>
      <w:pPr>
        <w:widowControl/>
        <w:jc w:val="center"/>
        <w:rPr>
          <w:b/>
          <w:sz w:val="44"/>
          <w:szCs w:val="44"/>
        </w:rPr>
      </w:pPr>
    </w:p>
    <w:p>
      <w:pPr>
        <w:widowControl/>
        <w:jc w:val="center"/>
        <w:rPr>
          <w:b/>
          <w:sz w:val="96"/>
          <w:szCs w:val="44"/>
        </w:rPr>
      </w:pPr>
      <w:r>
        <w:rPr>
          <w:rFonts w:hint="eastAsia"/>
          <w:b/>
          <w:sz w:val="96"/>
          <w:szCs w:val="44"/>
        </w:rPr>
        <w:t>招标文件</w:t>
      </w:r>
    </w:p>
    <w:p>
      <w:pPr>
        <w:widowControl/>
        <w:ind w:firstLine="1393" w:firstLineChars="347"/>
        <w:rPr>
          <w:b/>
          <w:sz w:val="40"/>
          <w:szCs w:val="40"/>
        </w:rPr>
      </w:pPr>
    </w:p>
    <w:p>
      <w:pPr>
        <w:widowControl/>
        <w:ind w:firstLine="1393" w:firstLineChars="347"/>
        <w:rPr>
          <w:b/>
          <w:sz w:val="40"/>
          <w:szCs w:val="40"/>
        </w:rPr>
      </w:pPr>
      <w:r>
        <w:rPr>
          <w:rFonts w:hint="eastAsia"/>
          <w:b/>
          <w:sz w:val="40"/>
          <w:szCs w:val="40"/>
        </w:rPr>
        <w:t>招标编号：</w:t>
      </w:r>
      <w:r>
        <w:rPr>
          <w:rFonts w:hint="eastAsia"/>
          <w:b/>
          <w:bCs/>
          <w:sz w:val="40"/>
          <w:szCs w:val="40"/>
        </w:rPr>
        <w:t>中原公开-2023-37</w:t>
      </w: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36"/>
          <w:szCs w:val="44"/>
        </w:rPr>
      </w:pPr>
    </w:p>
    <w:p>
      <w:pPr>
        <w:widowControl/>
        <w:jc w:val="center"/>
        <w:rPr>
          <w:b/>
          <w:sz w:val="36"/>
          <w:szCs w:val="44"/>
        </w:rPr>
      </w:pPr>
    </w:p>
    <w:p>
      <w:pPr>
        <w:widowControl/>
        <w:jc w:val="center"/>
        <w:rPr>
          <w:b/>
          <w:sz w:val="36"/>
          <w:szCs w:val="44"/>
        </w:rPr>
      </w:pPr>
      <w:r>
        <w:rPr>
          <w:rFonts w:hint="eastAsia"/>
          <w:b/>
          <w:sz w:val="36"/>
          <w:szCs w:val="44"/>
        </w:rPr>
        <w:t>采购人：郑州市第六十五中学</w:t>
      </w:r>
    </w:p>
    <w:p>
      <w:pPr>
        <w:widowControl/>
        <w:jc w:val="center"/>
        <w:rPr>
          <w:b/>
          <w:sz w:val="36"/>
          <w:szCs w:val="44"/>
        </w:rPr>
      </w:pPr>
      <w:r>
        <w:rPr>
          <w:rFonts w:hint="eastAsia"/>
          <w:b/>
          <w:sz w:val="36"/>
          <w:szCs w:val="44"/>
        </w:rPr>
        <w:t>采购代理机构：河南万为项目咨询管理有限公司</w:t>
      </w:r>
    </w:p>
    <w:p>
      <w:pPr>
        <w:widowControl/>
        <w:jc w:val="center"/>
        <w:rPr>
          <w:b/>
          <w:sz w:val="36"/>
          <w:szCs w:val="44"/>
        </w:rPr>
      </w:pPr>
      <w:r>
        <w:rPr>
          <w:rFonts w:hint="eastAsia"/>
          <w:b/>
          <w:sz w:val="36"/>
          <w:szCs w:val="44"/>
        </w:rPr>
        <w:t>日期：二</w:t>
      </w:r>
      <w:r>
        <w:rPr>
          <w:rFonts w:hint="eastAsia" w:asciiTheme="minorEastAsia" w:hAnsiTheme="minorEastAsia"/>
          <w:b/>
          <w:sz w:val="36"/>
          <w:szCs w:val="44"/>
        </w:rPr>
        <w:t>○</w:t>
      </w:r>
      <w:r>
        <w:rPr>
          <w:rFonts w:hint="eastAsia"/>
          <w:b/>
          <w:sz w:val="36"/>
          <w:szCs w:val="44"/>
        </w:rPr>
        <w:t>二三年八月</w:t>
      </w:r>
    </w:p>
    <w:p>
      <w:pPr>
        <w:widowControl/>
        <w:jc w:val="left"/>
        <w:rPr>
          <w:b/>
          <w:bCs/>
          <w:kern w:val="0"/>
          <w:sz w:val="24"/>
          <w:szCs w:val="24"/>
        </w:rPr>
      </w:pPr>
      <w:r>
        <w:rPr>
          <w:b/>
          <w:bCs/>
          <w:sz w:val="24"/>
          <w:szCs w:val="24"/>
        </w:rPr>
        <w:br w:type="page"/>
      </w:r>
    </w:p>
    <w:p>
      <w:pPr>
        <w:pStyle w:val="22"/>
        <w:tabs>
          <w:tab w:val="right" w:leader="dot" w:pos="8296"/>
        </w:tabs>
        <w:jc w:val="center"/>
        <w:rPr>
          <w:b/>
          <w:bCs/>
          <w:sz w:val="24"/>
          <w:szCs w:val="24"/>
        </w:rPr>
      </w:pPr>
      <w:r>
        <w:rPr>
          <w:rFonts w:hint="eastAsia"/>
          <w:b/>
          <w:bCs/>
          <w:sz w:val="24"/>
          <w:szCs w:val="24"/>
        </w:rPr>
        <w:t>目录</w:t>
      </w:r>
    </w:p>
    <w:p>
      <w:pPr>
        <w:pStyle w:val="22"/>
        <w:tabs>
          <w:tab w:val="left" w:pos="1050"/>
          <w:tab w:val="right" w:leader="dot" w:pos="8296"/>
        </w:tabs>
        <w:rPr>
          <w:kern w:val="2"/>
          <w:sz w:val="21"/>
        </w:rPr>
      </w:pPr>
      <w:r>
        <w:fldChar w:fldCharType="begin"/>
      </w:r>
      <w:r>
        <w:instrText xml:space="preserve"> TOC \o "1-3" \h \z \u </w:instrText>
      </w:r>
      <w:r>
        <w:fldChar w:fldCharType="separate"/>
      </w:r>
      <w:r>
        <w:fldChar w:fldCharType="begin"/>
      </w:r>
      <w:r>
        <w:instrText xml:space="preserve"> HYPERLINK \l "_Toc143350508" </w:instrText>
      </w:r>
      <w:r>
        <w:fldChar w:fldCharType="separate"/>
      </w:r>
      <w:r>
        <w:rPr>
          <w:rStyle w:val="40"/>
          <w:rFonts w:hint="eastAsia" w:asciiTheme="minorEastAsia" w:hAnsiTheme="minorEastAsia"/>
        </w:rPr>
        <w:t>第一章</w:t>
      </w:r>
      <w:r>
        <w:rPr>
          <w:kern w:val="2"/>
          <w:sz w:val="21"/>
        </w:rPr>
        <w:tab/>
      </w:r>
      <w:r>
        <w:rPr>
          <w:rStyle w:val="40"/>
          <w:rFonts w:hint="eastAsia" w:asciiTheme="minorEastAsia" w:hAnsiTheme="minorEastAsia"/>
        </w:rPr>
        <w:t>招标公告</w:t>
      </w:r>
      <w:r>
        <w:tab/>
      </w:r>
      <w:r>
        <w:fldChar w:fldCharType="begin"/>
      </w:r>
      <w:r>
        <w:instrText xml:space="preserve"> PAGEREF _Toc143350508 \h </w:instrText>
      </w:r>
      <w:r>
        <w:fldChar w:fldCharType="separate"/>
      </w:r>
      <w:r>
        <w:t>3</w:t>
      </w:r>
      <w:r>
        <w:fldChar w:fldCharType="end"/>
      </w:r>
      <w:r>
        <w:fldChar w:fldCharType="end"/>
      </w:r>
    </w:p>
    <w:p>
      <w:pPr>
        <w:pStyle w:val="25"/>
        <w:tabs>
          <w:tab w:val="right" w:leader="dot" w:pos="8296"/>
        </w:tabs>
        <w:ind w:left="0"/>
        <w:rPr>
          <w:kern w:val="2"/>
          <w:sz w:val="21"/>
        </w:rPr>
      </w:pPr>
      <w:r>
        <w:fldChar w:fldCharType="begin"/>
      </w:r>
      <w:r>
        <w:instrText xml:space="preserve"> HYPERLINK \l "_Toc143350509" </w:instrText>
      </w:r>
      <w:r>
        <w:fldChar w:fldCharType="separate"/>
      </w:r>
      <w:r>
        <w:rPr>
          <w:rStyle w:val="40"/>
          <w:rFonts w:hint="eastAsia" w:asciiTheme="minorEastAsia" w:hAnsiTheme="minorEastAsia"/>
        </w:rPr>
        <w:t>第二章</w:t>
      </w:r>
      <w:r>
        <w:rPr>
          <w:rStyle w:val="40"/>
          <w:rFonts w:asciiTheme="minorEastAsia" w:hAnsiTheme="minorEastAsia"/>
        </w:rPr>
        <w:t xml:space="preserve"> </w:t>
      </w:r>
      <w:r>
        <w:rPr>
          <w:rStyle w:val="40"/>
          <w:rFonts w:hint="eastAsia" w:asciiTheme="minorEastAsia" w:hAnsiTheme="minorEastAsia"/>
        </w:rPr>
        <w:t>投标人须知</w:t>
      </w:r>
      <w:r>
        <w:tab/>
      </w:r>
      <w:r>
        <w:fldChar w:fldCharType="begin"/>
      </w:r>
      <w:r>
        <w:instrText xml:space="preserve"> PAGEREF _Toc143350509 \h </w:instrText>
      </w:r>
      <w:r>
        <w:fldChar w:fldCharType="separate"/>
      </w:r>
      <w:r>
        <w:t>7</w:t>
      </w:r>
      <w:r>
        <w:fldChar w:fldCharType="end"/>
      </w:r>
      <w:r>
        <w:fldChar w:fldCharType="end"/>
      </w:r>
    </w:p>
    <w:p>
      <w:pPr>
        <w:pStyle w:val="25"/>
        <w:tabs>
          <w:tab w:val="right" w:leader="dot" w:pos="8296"/>
        </w:tabs>
        <w:rPr>
          <w:kern w:val="2"/>
          <w:sz w:val="21"/>
        </w:rPr>
      </w:pPr>
      <w:r>
        <w:fldChar w:fldCharType="begin"/>
      </w:r>
      <w:r>
        <w:instrText xml:space="preserve"> HYPERLINK \l "_Toc143350510" </w:instrText>
      </w:r>
      <w:r>
        <w:fldChar w:fldCharType="separate"/>
      </w:r>
      <w:r>
        <w:rPr>
          <w:rStyle w:val="40"/>
          <w:rFonts w:hint="eastAsia" w:asciiTheme="minorEastAsia" w:hAnsiTheme="minorEastAsia"/>
        </w:rPr>
        <w:t>投标人须知前附表</w:t>
      </w:r>
      <w:r>
        <w:tab/>
      </w:r>
      <w:r>
        <w:fldChar w:fldCharType="begin"/>
      </w:r>
      <w:r>
        <w:instrText xml:space="preserve"> PAGEREF _Toc143350510 \h </w:instrText>
      </w:r>
      <w:r>
        <w:fldChar w:fldCharType="separate"/>
      </w:r>
      <w:r>
        <w:t>7</w:t>
      </w:r>
      <w:r>
        <w:fldChar w:fldCharType="end"/>
      </w:r>
      <w:r>
        <w:fldChar w:fldCharType="end"/>
      </w:r>
    </w:p>
    <w:p>
      <w:pPr>
        <w:pStyle w:val="25"/>
        <w:tabs>
          <w:tab w:val="right" w:leader="dot" w:pos="8296"/>
        </w:tabs>
        <w:rPr>
          <w:kern w:val="2"/>
          <w:sz w:val="21"/>
        </w:rPr>
      </w:pPr>
      <w:r>
        <w:fldChar w:fldCharType="begin"/>
      </w:r>
      <w:r>
        <w:instrText xml:space="preserve"> HYPERLINK \l "_Toc143350511" </w:instrText>
      </w:r>
      <w:r>
        <w:fldChar w:fldCharType="separate"/>
      </w:r>
      <w:r>
        <w:rPr>
          <w:rStyle w:val="40"/>
          <w:rFonts w:hint="eastAsia" w:asciiTheme="minorEastAsia" w:hAnsiTheme="minorEastAsia"/>
        </w:rPr>
        <w:t>投标人须知</w:t>
      </w:r>
      <w:r>
        <w:tab/>
      </w:r>
      <w:r>
        <w:fldChar w:fldCharType="begin"/>
      </w:r>
      <w:r>
        <w:instrText xml:space="preserve"> PAGEREF _Toc143350511 \h </w:instrText>
      </w:r>
      <w:r>
        <w:fldChar w:fldCharType="separate"/>
      </w:r>
      <w:r>
        <w:t>12</w:t>
      </w:r>
      <w:r>
        <w:fldChar w:fldCharType="end"/>
      </w:r>
      <w:r>
        <w:fldChar w:fldCharType="end"/>
      </w:r>
    </w:p>
    <w:p>
      <w:pPr>
        <w:pStyle w:val="15"/>
        <w:tabs>
          <w:tab w:val="right" w:leader="dot" w:pos="8296"/>
        </w:tabs>
        <w:rPr>
          <w:kern w:val="2"/>
          <w:sz w:val="21"/>
        </w:rPr>
      </w:pPr>
      <w:r>
        <w:fldChar w:fldCharType="begin"/>
      </w:r>
      <w:r>
        <w:instrText xml:space="preserve"> HYPERLINK \l "_Toc143350512" </w:instrText>
      </w:r>
      <w:r>
        <w:fldChar w:fldCharType="separate"/>
      </w:r>
      <w:r>
        <w:rPr>
          <w:rStyle w:val="40"/>
          <w:rFonts w:asciiTheme="minorEastAsia" w:hAnsiTheme="minorEastAsia"/>
        </w:rPr>
        <w:t xml:space="preserve">1.  </w:t>
      </w:r>
      <w:r>
        <w:rPr>
          <w:rStyle w:val="40"/>
          <w:rFonts w:hint="eastAsia" w:asciiTheme="minorEastAsia" w:hAnsiTheme="minorEastAsia"/>
        </w:rPr>
        <w:t>总则</w:t>
      </w:r>
      <w:r>
        <w:tab/>
      </w:r>
      <w:r>
        <w:fldChar w:fldCharType="begin"/>
      </w:r>
      <w:r>
        <w:instrText xml:space="preserve"> PAGEREF _Toc143350512 \h </w:instrText>
      </w:r>
      <w:r>
        <w:fldChar w:fldCharType="separate"/>
      </w:r>
      <w:r>
        <w:t>12</w:t>
      </w:r>
      <w:r>
        <w:fldChar w:fldCharType="end"/>
      </w:r>
      <w:r>
        <w:fldChar w:fldCharType="end"/>
      </w:r>
    </w:p>
    <w:p>
      <w:pPr>
        <w:pStyle w:val="15"/>
        <w:tabs>
          <w:tab w:val="right" w:leader="dot" w:pos="8296"/>
        </w:tabs>
        <w:rPr>
          <w:kern w:val="2"/>
          <w:sz w:val="21"/>
        </w:rPr>
      </w:pPr>
      <w:r>
        <w:fldChar w:fldCharType="begin"/>
      </w:r>
      <w:r>
        <w:instrText xml:space="preserve"> HYPERLINK \l "_Toc143350513" </w:instrText>
      </w:r>
      <w:r>
        <w:fldChar w:fldCharType="separate"/>
      </w:r>
      <w:r>
        <w:rPr>
          <w:rStyle w:val="40"/>
        </w:rPr>
        <w:t xml:space="preserve">2.  </w:t>
      </w:r>
      <w:r>
        <w:rPr>
          <w:rStyle w:val="40"/>
          <w:rFonts w:hint="eastAsia"/>
        </w:rPr>
        <w:t>招标文件</w:t>
      </w:r>
      <w:r>
        <w:tab/>
      </w:r>
      <w:r>
        <w:fldChar w:fldCharType="begin"/>
      </w:r>
      <w:r>
        <w:instrText xml:space="preserve"> PAGEREF _Toc143350513 \h </w:instrText>
      </w:r>
      <w:r>
        <w:fldChar w:fldCharType="separate"/>
      </w:r>
      <w:r>
        <w:t>13</w:t>
      </w:r>
      <w:r>
        <w:fldChar w:fldCharType="end"/>
      </w:r>
      <w:r>
        <w:fldChar w:fldCharType="end"/>
      </w:r>
    </w:p>
    <w:p>
      <w:pPr>
        <w:pStyle w:val="15"/>
        <w:tabs>
          <w:tab w:val="right" w:leader="dot" w:pos="8296"/>
        </w:tabs>
        <w:rPr>
          <w:kern w:val="2"/>
          <w:sz w:val="21"/>
        </w:rPr>
      </w:pPr>
      <w:r>
        <w:fldChar w:fldCharType="begin"/>
      </w:r>
      <w:r>
        <w:instrText xml:space="preserve"> HYPERLINK \l "_Toc143350514" </w:instrText>
      </w:r>
      <w:r>
        <w:fldChar w:fldCharType="separate"/>
      </w:r>
      <w:r>
        <w:rPr>
          <w:rStyle w:val="40"/>
        </w:rPr>
        <w:t xml:space="preserve">3.  </w:t>
      </w:r>
      <w:r>
        <w:rPr>
          <w:rStyle w:val="40"/>
          <w:rFonts w:hint="eastAsia"/>
        </w:rPr>
        <w:t>投标文件</w:t>
      </w:r>
      <w:r>
        <w:tab/>
      </w:r>
      <w:r>
        <w:fldChar w:fldCharType="begin"/>
      </w:r>
      <w:r>
        <w:instrText xml:space="preserve"> PAGEREF _Toc143350514 \h </w:instrText>
      </w:r>
      <w:r>
        <w:fldChar w:fldCharType="separate"/>
      </w:r>
      <w:r>
        <w:t>14</w:t>
      </w:r>
      <w:r>
        <w:fldChar w:fldCharType="end"/>
      </w:r>
      <w:r>
        <w:fldChar w:fldCharType="end"/>
      </w:r>
    </w:p>
    <w:p>
      <w:pPr>
        <w:pStyle w:val="15"/>
        <w:tabs>
          <w:tab w:val="right" w:leader="dot" w:pos="8296"/>
        </w:tabs>
        <w:rPr>
          <w:kern w:val="2"/>
          <w:sz w:val="21"/>
        </w:rPr>
      </w:pPr>
      <w:r>
        <w:fldChar w:fldCharType="begin"/>
      </w:r>
      <w:r>
        <w:instrText xml:space="preserve"> HYPERLINK \l "_Toc143350515" </w:instrText>
      </w:r>
      <w:r>
        <w:fldChar w:fldCharType="separate"/>
      </w:r>
      <w:r>
        <w:rPr>
          <w:rStyle w:val="40"/>
        </w:rPr>
        <w:t xml:space="preserve">4.  </w:t>
      </w:r>
      <w:r>
        <w:rPr>
          <w:rStyle w:val="40"/>
          <w:rFonts w:hint="eastAsia"/>
        </w:rPr>
        <w:t>投标</w:t>
      </w:r>
      <w:r>
        <w:tab/>
      </w:r>
      <w:r>
        <w:fldChar w:fldCharType="begin"/>
      </w:r>
      <w:r>
        <w:instrText xml:space="preserve"> PAGEREF _Toc143350515 \h </w:instrText>
      </w:r>
      <w:r>
        <w:fldChar w:fldCharType="separate"/>
      </w:r>
      <w:r>
        <w:t>15</w:t>
      </w:r>
      <w:r>
        <w:fldChar w:fldCharType="end"/>
      </w:r>
      <w:r>
        <w:fldChar w:fldCharType="end"/>
      </w:r>
    </w:p>
    <w:p>
      <w:pPr>
        <w:pStyle w:val="15"/>
        <w:tabs>
          <w:tab w:val="right" w:leader="dot" w:pos="8296"/>
        </w:tabs>
        <w:rPr>
          <w:kern w:val="2"/>
          <w:sz w:val="21"/>
        </w:rPr>
      </w:pPr>
      <w:r>
        <w:fldChar w:fldCharType="begin"/>
      </w:r>
      <w:r>
        <w:instrText xml:space="preserve"> HYPERLINK \l "_Toc143350516" </w:instrText>
      </w:r>
      <w:r>
        <w:fldChar w:fldCharType="separate"/>
      </w:r>
      <w:r>
        <w:rPr>
          <w:rStyle w:val="40"/>
        </w:rPr>
        <w:t xml:space="preserve">5. </w:t>
      </w:r>
      <w:r>
        <w:rPr>
          <w:rStyle w:val="40"/>
          <w:rFonts w:hint="eastAsia"/>
        </w:rPr>
        <w:t>开标</w:t>
      </w:r>
      <w:r>
        <w:tab/>
      </w:r>
      <w:r>
        <w:fldChar w:fldCharType="begin"/>
      </w:r>
      <w:r>
        <w:instrText xml:space="preserve"> PAGEREF _Toc143350516 \h </w:instrText>
      </w:r>
      <w:r>
        <w:fldChar w:fldCharType="separate"/>
      </w:r>
      <w:r>
        <w:t>16</w:t>
      </w:r>
      <w:r>
        <w:fldChar w:fldCharType="end"/>
      </w:r>
      <w:r>
        <w:fldChar w:fldCharType="end"/>
      </w:r>
    </w:p>
    <w:p>
      <w:pPr>
        <w:pStyle w:val="15"/>
        <w:tabs>
          <w:tab w:val="right" w:leader="dot" w:pos="8296"/>
        </w:tabs>
        <w:rPr>
          <w:kern w:val="2"/>
          <w:sz w:val="21"/>
        </w:rPr>
      </w:pPr>
      <w:r>
        <w:fldChar w:fldCharType="begin"/>
      </w:r>
      <w:r>
        <w:instrText xml:space="preserve"> HYPERLINK \l "_Toc143350517" </w:instrText>
      </w:r>
      <w:r>
        <w:fldChar w:fldCharType="separate"/>
      </w:r>
      <w:r>
        <w:rPr>
          <w:rStyle w:val="40"/>
        </w:rPr>
        <w:t xml:space="preserve">6.  </w:t>
      </w:r>
      <w:r>
        <w:rPr>
          <w:rStyle w:val="40"/>
          <w:rFonts w:hint="eastAsia"/>
        </w:rPr>
        <w:t>评标</w:t>
      </w:r>
      <w:r>
        <w:tab/>
      </w:r>
      <w:r>
        <w:fldChar w:fldCharType="begin"/>
      </w:r>
      <w:r>
        <w:instrText xml:space="preserve"> PAGEREF _Toc143350517 \h </w:instrText>
      </w:r>
      <w:r>
        <w:fldChar w:fldCharType="separate"/>
      </w:r>
      <w:r>
        <w:t>17</w:t>
      </w:r>
      <w:r>
        <w:fldChar w:fldCharType="end"/>
      </w:r>
      <w:r>
        <w:fldChar w:fldCharType="end"/>
      </w:r>
    </w:p>
    <w:p>
      <w:pPr>
        <w:pStyle w:val="15"/>
        <w:tabs>
          <w:tab w:val="right" w:leader="dot" w:pos="8296"/>
        </w:tabs>
        <w:rPr>
          <w:kern w:val="2"/>
          <w:sz w:val="21"/>
        </w:rPr>
      </w:pPr>
      <w:r>
        <w:fldChar w:fldCharType="begin"/>
      </w:r>
      <w:r>
        <w:instrText xml:space="preserve"> HYPERLINK \l "_Toc143350518" </w:instrText>
      </w:r>
      <w:r>
        <w:fldChar w:fldCharType="separate"/>
      </w:r>
      <w:r>
        <w:rPr>
          <w:rStyle w:val="40"/>
        </w:rPr>
        <w:t xml:space="preserve">7.  </w:t>
      </w:r>
      <w:r>
        <w:rPr>
          <w:rStyle w:val="40"/>
          <w:rFonts w:hint="eastAsia"/>
        </w:rPr>
        <w:t>合同授予</w:t>
      </w:r>
      <w:r>
        <w:tab/>
      </w:r>
      <w:r>
        <w:fldChar w:fldCharType="begin"/>
      </w:r>
      <w:r>
        <w:instrText xml:space="preserve"> PAGEREF _Toc143350518 \h </w:instrText>
      </w:r>
      <w:r>
        <w:fldChar w:fldCharType="separate"/>
      </w:r>
      <w:r>
        <w:t>19</w:t>
      </w:r>
      <w:r>
        <w:fldChar w:fldCharType="end"/>
      </w:r>
      <w:r>
        <w:fldChar w:fldCharType="end"/>
      </w:r>
    </w:p>
    <w:p>
      <w:pPr>
        <w:pStyle w:val="15"/>
        <w:tabs>
          <w:tab w:val="right" w:leader="dot" w:pos="8296"/>
        </w:tabs>
        <w:rPr>
          <w:kern w:val="2"/>
          <w:sz w:val="21"/>
        </w:rPr>
      </w:pPr>
      <w:r>
        <w:fldChar w:fldCharType="begin"/>
      </w:r>
      <w:r>
        <w:instrText xml:space="preserve"> HYPERLINK \l "_Toc143350519" </w:instrText>
      </w:r>
      <w:r>
        <w:fldChar w:fldCharType="separate"/>
      </w:r>
      <w:r>
        <w:rPr>
          <w:rStyle w:val="40"/>
        </w:rPr>
        <w:t xml:space="preserve">7.1 </w:t>
      </w:r>
      <w:r>
        <w:rPr>
          <w:rStyle w:val="40"/>
          <w:rFonts w:hint="eastAsia"/>
        </w:rPr>
        <w:t>中标公告</w:t>
      </w:r>
      <w:r>
        <w:tab/>
      </w:r>
      <w:r>
        <w:fldChar w:fldCharType="begin"/>
      </w:r>
      <w:r>
        <w:instrText xml:space="preserve"> PAGEREF _Toc143350519 \h </w:instrText>
      </w:r>
      <w:r>
        <w:fldChar w:fldCharType="separate"/>
      </w:r>
      <w:r>
        <w:t>19</w:t>
      </w:r>
      <w:r>
        <w:fldChar w:fldCharType="end"/>
      </w:r>
      <w:r>
        <w:fldChar w:fldCharType="end"/>
      </w:r>
    </w:p>
    <w:p>
      <w:pPr>
        <w:pStyle w:val="15"/>
        <w:tabs>
          <w:tab w:val="right" w:leader="dot" w:pos="8296"/>
        </w:tabs>
        <w:rPr>
          <w:kern w:val="2"/>
          <w:sz w:val="21"/>
        </w:rPr>
      </w:pPr>
      <w:r>
        <w:fldChar w:fldCharType="begin"/>
      </w:r>
      <w:r>
        <w:instrText xml:space="preserve"> HYPERLINK \l "_Toc143350520" </w:instrText>
      </w:r>
      <w:r>
        <w:fldChar w:fldCharType="separate"/>
      </w:r>
      <w:r>
        <w:rPr>
          <w:rStyle w:val="40"/>
        </w:rPr>
        <w:t xml:space="preserve">8.  </w:t>
      </w:r>
      <w:r>
        <w:rPr>
          <w:rStyle w:val="40"/>
          <w:rFonts w:hint="eastAsia"/>
        </w:rPr>
        <w:t>纪律和监督</w:t>
      </w:r>
      <w:r>
        <w:tab/>
      </w:r>
      <w:r>
        <w:fldChar w:fldCharType="begin"/>
      </w:r>
      <w:r>
        <w:instrText xml:space="preserve"> PAGEREF _Toc143350520 \h </w:instrText>
      </w:r>
      <w:r>
        <w:fldChar w:fldCharType="separate"/>
      </w:r>
      <w:r>
        <w:t>20</w:t>
      </w:r>
      <w:r>
        <w:fldChar w:fldCharType="end"/>
      </w:r>
      <w:r>
        <w:fldChar w:fldCharType="end"/>
      </w:r>
    </w:p>
    <w:p>
      <w:pPr>
        <w:pStyle w:val="15"/>
        <w:tabs>
          <w:tab w:val="right" w:leader="dot" w:pos="8296"/>
        </w:tabs>
        <w:rPr>
          <w:kern w:val="2"/>
          <w:sz w:val="21"/>
        </w:rPr>
      </w:pPr>
      <w:r>
        <w:fldChar w:fldCharType="begin"/>
      </w:r>
      <w:r>
        <w:instrText xml:space="preserve"> HYPERLINK \l "_Toc143350521" </w:instrText>
      </w:r>
      <w:r>
        <w:fldChar w:fldCharType="separate"/>
      </w:r>
      <w:r>
        <w:rPr>
          <w:rStyle w:val="40"/>
        </w:rPr>
        <w:t xml:space="preserve">9. </w:t>
      </w:r>
      <w:r>
        <w:rPr>
          <w:rStyle w:val="40"/>
          <w:rFonts w:hint="eastAsia"/>
        </w:rPr>
        <w:t>需要补充的其他内容</w:t>
      </w:r>
      <w:r>
        <w:tab/>
      </w:r>
      <w:r>
        <w:fldChar w:fldCharType="begin"/>
      </w:r>
      <w:r>
        <w:instrText xml:space="preserve"> PAGEREF _Toc143350521 \h </w:instrText>
      </w:r>
      <w:r>
        <w:fldChar w:fldCharType="separate"/>
      </w:r>
      <w:r>
        <w:t>20</w:t>
      </w:r>
      <w:r>
        <w:fldChar w:fldCharType="end"/>
      </w:r>
      <w:r>
        <w:fldChar w:fldCharType="end"/>
      </w:r>
    </w:p>
    <w:p>
      <w:pPr>
        <w:pStyle w:val="15"/>
        <w:tabs>
          <w:tab w:val="right" w:leader="dot" w:pos="8296"/>
        </w:tabs>
        <w:rPr>
          <w:kern w:val="2"/>
          <w:sz w:val="21"/>
        </w:rPr>
      </w:pPr>
      <w:r>
        <w:fldChar w:fldCharType="begin"/>
      </w:r>
      <w:r>
        <w:instrText xml:space="preserve"> HYPERLINK \l "_Toc143350522" </w:instrText>
      </w:r>
      <w:r>
        <w:fldChar w:fldCharType="separate"/>
      </w:r>
      <w:r>
        <w:rPr>
          <w:rStyle w:val="40"/>
          <w:rFonts w:hint="eastAsia"/>
        </w:rPr>
        <w:t>附件：质疑函格式（统一格式，需提供原件）</w:t>
      </w:r>
      <w:r>
        <w:tab/>
      </w:r>
      <w:r>
        <w:fldChar w:fldCharType="begin"/>
      </w:r>
      <w:r>
        <w:instrText xml:space="preserve"> PAGEREF _Toc143350522 \h </w:instrText>
      </w:r>
      <w:r>
        <w:fldChar w:fldCharType="separate"/>
      </w:r>
      <w:r>
        <w:t>21</w:t>
      </w:r>
      <w:r>
        <w:fldChar w:fldCharType="end"/>
      </w:r>
      <w:r>
        <w:fldChar w:fldCharType="end"/>
      </w:r>
    </w:p>
    <w:p>
      <w:pPr>
        <w:pStyle w:val="22"/>
        <w:tabs>
          <w:tab w:val="right" w:leader="dot" w:pos="8296"/>
        </w:tabs>
        <w:rPr>
          <w:kern w:val="2"/>
          <w:sz w:val="21"/>
        </w:rPr>
      </w:pPr>
      <w:r>
        <w:fldChar w:fldCharType="begin"/>
      </w:r>
      <w:r>
        <w:instrText xml:space="preserve"> HYPERLINK \l "_Toc143350523" </w:instrText>
      </w:r>
      <w:r>
        <w:fldChar w:fldCharType="separate"/>
      </w:r>
      <w:r>
        <w:rPr>
          <w:rStyle w:val="40"/>
          <w:rFonts w:hint="eastAsia" w:asciiTheme="minorEastAsia" w:hAnsiTheme="minorEastAsia"/>
        </w:rPr>
        <w:t>第三章</w:t>
      </w:r>
      <w:r>
        <w:rPr>
          <w:rStyle w:val="40"/>
          <w:rFonts w:asciiTheme="minorEastAsia" w:hAnsiTheme="minorEastAsia"/>
        </w:rPr>
        <w:t xml:space="preserve"> </w:t>
      </w:r>
      <w:r>
        <w:rPr>
          <w:rStyle w:val="40"/>
          <w:rFonts w:hint="eastAsia" w:asciiTheme="minorEastAsia" w:hAnsiTheme="minorEastAsia"/>
        </w:rPr>
        <w:t>评标方法和标准</w:t>
      </w:r>
      <w:r>
        <w:tab/>
      </w:r>
      <w:r>
        <w:fldChar w:fldCharType="begin"/>
      </w:r>
      <w:r>
        <w:instrText xml:space="preserve"> PAGEREF _Toc143350523 \h </w:instrText>
      </w:r>
      <w:r>
        <w:fldChar w:fldCharType="separate"/>
      </w:r>
      <w:r>
        <w:t>23</w:t>
      </w:r>
      <w:r>
        <w:fldChar w:fldCharType="end"/>
      </w:r>
      <w:r>
        <w:fldChar w:fldCharType="end"/>
      </w:r>
    </w:p>
    <w:p>
      <w:pPr>
        <w:pStyle w:val="15"/>
        <w:tabs>
          <w:tab w:val="right" w:leader="dot" w:pos="8296"/>
        </w:tabs>
        <w:rPr>
          <w:kern w:val="2"/>
          <w:sz w:val="21"/>
        </w:rPr>
      </w:pPr>
      <w:r>
        <w:fldChar w:fldCharType="begin"/>
      </w:r>
      <w:r>
        <w:instrText xml:space="preserve"> HYPERLINK \l "_Toc143350524" </w:instrText>
      </w:r>
      <w:r>
        <w:fldChar w:fldCharType="separate"/>
      </w:r>
      <w:r>
        <w:rPr>
          <w:rStyle w:val="40"/>
          <w:rFonts w:asciiTheme="minorEastAsia" w:hAnsiTheme="minorEastAsia"/>
        </w:rPr>
        <w:t>1.</w:t>
      </w:r>
      <w:r>
        <w:rPr>
          <w:rStyle w:val="40"/>
          <w:rFonts w:hint="eastAsia" w:asciiTheme="minorEastAsia" w:hAnsiTheme="minorEastAsia"/>
        </w:rPr>
        <w:t>评标依据</w:t>
      </w:r>
      <w:r>
        <w:tab/>
      </w:r>
      <w:r>
        <w:fldChar w:fldCharType="begin"/>
      </w:r>
      <w:r>
        <w:instrText xml:space="preserve"> PAGEREF _Toc143350524 \h </w:instrText>
      </w:r>
      <w:r>
        <w:fldChar w:fldCharType="separate"/>
      </w:r>
      <w:r>
        <w:t>27</w:t>
      </w:r>
      <w:r>
        <w:fldChar w:fldCharType="end"/>
      </w:r>
      <w:r>
        <w:fldChar w:fldCharType="end"/>
      </w:r>
    </w:p>
    <w:p>
      <w:pPr>
        <w:pStyle w:val="15"/>
        <w:tabs>
          <w:tab w:val="right" w:leader="dot" w:pos="8296"/>
        </w:tabs>
        <w:rPr>
          <w:kern w:val="2"/>
          <w:sz w:val="21"/>
        </w:rPr>
      </w:pPr>
      <w:r>
        <w:fldChar w:fldCharType="begin"/>
      </w:r>
      <w:r>
        <w:instrText xml:space="preserve"> HYPERLINK \l "_Toc143350525" </w:instrText>
      </w:r>
      <w:r>
        <w:fldChar w:fldCharType="separate"/>
      </w:r>
      <w:r>
        <w:rPr>
          <w:rStyle w:val="40"/>
          <w:rFonts w:asciiTheme="minorEastAsia" w:hAnsiTheme="minorEastAsia"/>
        </w:rPr>
        <w:t>2.</w:t>
      </w:r>
      <w:r>
        <w:rPr>
          <w:rStyle w:val="40"/>
          <w:rFonts w:hint="eastAsia" w:asciiTheme="minorEastAsia" w:hAnsiTheme="minorEastAsia"/>
        </w:rPr>
        <w:t>评标委员会</w:t>
      </w:r>
      <w:r>
        <w:tab/>
      </w:r>
      <w:r>
        <w:fldChar w:fldCharType="begin"/>
      </w:r>
      <w:r>
        <w:instrText xml:space="preserve"> PAGEREF _Toc143350525 \h </w:instrText>
      </w:r>
      <w:r>
        <w:fldChar w:fldCharType="separate"/>
      </w:r>
      <w:r>
        <w:t>27</w:t>
      </w:r>
      <w:r>
        <w:fldChar w:fldCharType="end"/>
      </w:r>
      <w:r>
        <w:fldChar w:fldCharType="end"/>
      </w:r>
    </w:p>
    <w:p>
      <w:pPr>
        <w:pStyle w:val="15"/>
        <w:tabs>
          <w:tab w:val="right" w:leader="dot" w:pos="8296"/>
        </w:tabs>
        <w:rPr>
          <w:kern w:val="2"/>
          <w:sz w:val="21"/>
        </w:rPr>
      </w:pPr>
      <w:r>
        <w:fldChar w:fldCharType="begin"/>
      </w:r>
      <w:r>
        <w:instrText xml:space="preserve"> HYPERLINK \l "_Toc143350526" </w:instrText>
      </w:r>
      <w:r>
        <w:fldChar w:fldCharType="separate"/>
      </w:r>
      <w:r>
        <w:rPr>
          <w:rStyle w:val="40"/>
          <w:rFonts w:asciiTheme="minorEastAsia" w:hAnsiTheme="minorEastAsia"/>
        </w:rPr>
        <w:t>3.</w:t>
      </w:r>
      <w:r>
        <w:rPr>
          <w:rStyle w:val="40"/>
          <w:rFonts w:hint="eastAsia" w:asciiTheme="minorEastAsia" w:hAnsiTheme="minorEastAsia"/>
        </w:rPr>
        <w:t>评标方法与标准</w:t>
      </w:r>
      <w:r>
        <w:tab/>
      </w:r>
      <w:r>
        <w:fldChar w:fldCharType="begin"/>
      </w:r>
      <w:r>
        <w:instrText xml:space="preserve"> PAGEREF _Toc143350526 \h </w:instrText>
      </w:r>
      <w:r>
        <w:fldChar w:fldCharType="separate"/>
      </w:r>
      <w:r>
        <w:t>28</w:t>
      </w:r>
      <w:r>
        <w:fldChar w:fldCharType="end"/>
      </w:r>
      <w:r>
        <w:fldChar w:fldCharType="end"/>
      </w:r>
    </w:p>
    <w:p>
      <w:pPr>
        <w:pStyle w:val="22"/>
        <w:tabs>
          <w:tab w:val="right" w:leader="dot" w:pos="8296"/>
        </w:tabs>
        <w:rPr>
          <w:kern w:val="2"/>
          <w:sz w:val="21"/>
        </w:rPr>
      </w:pPr>
      <w:r>
        <w:fldChar w:fldCharType="begin"/>
      </w:r>
      <w:r>
        <w:instrText xml:space="preserve"> HYPERLINK \l "_Toc143350527" </w:instrText>
      </w:r>
      <w:r>
        <w:fldChar w:fldCharType="separate"/>
      </w:r>
      <w:r>
        <w:rPr>
          <w:rStyle w:val="40"/>
          <w:rFonts w:hint="eastAsia" w:asciiTheme="minorEastAsia" w:hAnsiTheme="minorEastAsia"/>
        </w:rPr>
        <w:t>第四章</w:t>
      </w:r>
      <w:r>
        <w:rPr>
          <w:rStyle w:val="40"/>
          <w:rFonts w:asciiTheme="minorEastAsia" w:hAnsiTheme="minorEastAsia"/>
        </w:rPr>
        <w:t xml:space="preserve"> </w:t>
      </w:r>
      <w:r>
        <w:rPr>
          <w:rStyle w:val="40"/>
          <w:rFonts w:hint="eastAsia" w:asciiTheme="minorEastAsia" w:hAnsiTheme="minorEastAsia"/>
        </w:rPr>
        <w:t>合同格式</w:t>
      </w:r>
      <w:r>
        <w:tab/>
      </w:r>
      <w:r>
        <w:fldChar w:fldCharType="begin"/>
      </w:r>
      <w:r>
        <w:instrText xml:space="preserve"> PAGEREF _Toc143350527 \h </w:instrText>
      </w:r>
      <w:r>
        <w:fldChar w:fldCharType="separate"/>
      </w:r>
      <w:r>
        <w:t>31</w:t>
      </w:r>
      <w:r>
        <w:fldChar w:fldCharType="end"/>
      </w:r>
      <w:r>
        <w:fldChar w:fldCharType="end"/>
      </w:r>
    </w:p>
    <w:p>
      <w:pPr>
        <w:pStyle w:val="22"/>
        <w:tabs>
          <w:tab w:val="right" w:leader="dot" w:pos="8296"/>
        </w:tabs>
        <w:rPr>
          <w:kern w:val="2"/>
          <w:sz w:val="21"/>
        </w:rPr>
      </w:pPr>
      <w:r>
        <w:fldChar w:fldCharType="begin"/>
      </w:r>
      <w:r>
        <w:instrText xml:space="preserve"> HYPERLINK \l "_Toc143350528" </w:instrText>
      </w:r>
      <w:r>
        <w:fldChar w:fldCharType="separate"/>
      </w:r>
      <w:r>
        <w:rPr>
          <w:rStyle w:val="40"/>
          <w:rFonts w:hint="eastAsia" w:asciiTheme="minorEastAsia" w:hAnsiTheme="minorEastAsia"/>
        </w:rPr>
        <w:t>第五章</w:t>
      </w:r>
      <w:r>
        <w:rPr>
          <w:rStyle w:val="40"/>
          <w:rFonts w:asciiTheme="minorEastAsia" w:hAnsiTheme="minorEastAsia"/>
        </w:rPr>
        <w:t xml:space="preserve"> </w:t>
      </w:r>
      <w:r>
        <w:rPr>
          <w:rStyle w:val="40"/>
          <w:rFonts w:hint="eastAsia" w:asciiTheme="minorEastAsia" w:hAnsiTheme="minorEastAsia"/>
        </w:rPr>
        <w:t>投标文件格式</w:t>
      </w:r>
      <w:r>
        <w:tab/>
      </w:r>
      <w:r>
        <w:fldChar w:fldCharType="begin"/>
      </w:r>
      <w:r>
        <w:instrText xml:space="preserve"> PAGEREF _Toc143350528 \h </w:instrText>
      </w:r>
      <w:r>
        <w:fldChar w:fldCharType="separate"/>
      </w:r>
      <w:r>
        <w:t>40</w:t>
      </w:r>
      <w:r>
        <w:fldChar w:fldCharType="end"/>
      </w:r>
      <w:r>
        <w:fldChar w:fldCharType="end"/>
      </w:r>
    </w:p>
    <w:p>
      <w:pPr>
        <w:pStyle w:val="25"/>
        <w:tabs>
          <w:tab w:val="right" w:leader="dot" w:pos="8296"/>
        </w:tabs>
        <w:rPr>
          <w:kern w:val="2"/>
          <w:sz w:val="21"/>
        </w:rPr>
      </w:pPr>
      <w:r>
        <w:fldChar w:fldCharType="begin"/>
      </w:r>
      <w:r>
        <w:instrText xml:space="preserve"> HYPERLINK \l "_Toc143350529" </w:instrText>
      </w:r>
      <w:r>
        <w:fldChar w:fldCharType="separate"/>
      </w:r>
      <w:r>
        <w:rPr>
          <w:rStyle w:val="40"/>
          <w:rFonts w:hint="eastAsia"/>
        </w:rPr>
        <w:t>第一部分资格证明文件</w:t>
      </w:r>
      <w:r>
        <w:tab/>
      </w:r>
      <w:r>
        <w:fldChar w:fldCharType="begin"/>
      </w:r>
      <w:r>
        <w:instrText xml:space="preserve"> PAGEREF _Toc143350529 \h </w:instrText>
      </w:r>
      <w:r>
        <w:fldChar w:fldCharType="separate"/>
      </w:r>
      <w:r>
        <w:t>41</w:t>
      </w:r>
      <w:r>
        <w:fldChar w:fldCharType="end"/>
      </w:r>
      <w:r>
        <w:fldChar w:fldCharType="end"/>
      </w:r>
    </w:p>
    <w:p>
      <w:pPr>
        <w:pStyle w:val="15"/>
        <w:tabs>
          <w:tab w:val="right" w:leader="dot" w:pos="8296"/>
        </w:tabs>
        <w:rPr>
          <w:kern w:val="2"/>
          <w:sz w:val="21"/>
        </w:rPr>
      </w:pPr>
      <w:r>
        <w:fldChar w:fldCharType="begin"/>
      </w:r>
      <w:r>
        <w:instrText xml:space="preserve"> HYPERLINK \l "_Toc143350530" </w:instrText>
      </w:r>
      <w:r>
        <w:fldChar w:fldCharType="separate"/>
      </w:r>
      <w:r>
        <w:rPr>
          <w:rStyle w:val="40"/>
          <w:rFonts w:hint="eastAsia"/>
        </w:rPr>
        <w:t>一、法定代表人授权委托书</w:t>
      </w:r>
      <w:r>
        <w:tab/>
      </w:r>
      <w:r>
        <w:fldChar w:fldCharType="begin"/>
      </w:r>
      <w:r>
        <w:instrText xml:space="preserve"> PAGEREF _Toc143350530 \h </w:instrText>
      </w:r>
      <w:r>
        <w:fldChar w:fldCharType="separate"/>
      </w:r>
      <w:r>
        <w:t>42</w:t>
      </w:r>
      <w:r>
        <w:fldChar w:fldCharType="end"/>
      </w:r>
      <w:r>
        <w:fldChar w:fldCharType="end"/>
      </w:r>
    </w:p>
    <w:p>
      <w:pPr>
        <w:pStyle w:val="15"/>
        <w:tabs>
          <w:tab w:val="right" w:leader="dot" w:pos="8296"/>
        </w:tabs>
        <w:rPr>
          <w:kern w:val="2"/>
          <w:sz w:val="21"/>
        </w:rPr>
      </w:pPr>
      <w:r>
        <w:fldChar w:fldCharType="begin"/>
      </w:r>
      <w:r>
        <w:instrText xml:space="preserve"> HYPERLINK \l "_Toc143350531" </w:instrText>
      </w:r>
      <w:r>
        <w:fldChar w:fldCharType="separate"/>
      </w:r>
      <w:r>
        <w:rPr>
          <w:rStyle w:val="40"/>
          <w:rFonts w:hint="eastAsia"/>
        </w:rPr>
        <w:t>二、资格承诺声明函</w:t>
      </w:r>
      <w:r>
        <w:tab/>
      </w:r>
      <w:r>
        <w:fldChar w:fldCharType="begin"/>
      </w:r>
      <w:r>
        <w:instrText xml:space="preserve"> PAGEREF _Toc143350531 \h </w:instrText>
      </w:r>
      <w:r>
        <w:fldChar w:fldCharType="separate"/>
      </w:r>
      <w:r>
        <w:t>43</w:t>
      </w:r>
      <w:r>
        <w:fldChar w:fldCharType="end"/>
      </w:r>
      <w:r>
        <w:fldChar w:fldCharType="end"/>
      </w:r>
    </w:p>
    <w:p>
      <w:pPr>
        <w:pStyle w:val="15"/>
        <w:tabs>
          <w:tab w:val="right" w:leader="dot" w:pos="8296"/>
        </w:tabs>
        <w:rPr>
          <w:kern w:val="2"/>
          <w:sz w:val="21"/>
        </w:rPr>
      </w:pPr>
      <w:r>
        <w:fldChar w:fldCharType="begin"/>
      </w:r>
      <w:r>
        <w:instrText xml:space="preserve"> HYPERLINK \l "_Toc143350532" </w:instrText>
      </w:r>
      <w:r>
        <w:fldChar w:fldCharType="separate"/>
      </w:r>
      <w:r>
        <w:rPr>
          <w:rStyle w:val="40"/>
          <w:rFonts w:hint="eastAsia"/>
        </w:rPr>
        <w:t>三、 信用记录查询</w:t>
      </w:r>
      <w:r>
        <w:tab/>
      </w:r>
      <w:r>
        <w:fldChar w:fldCharType="begin"/>
      </w:r>
      <w:r>
        <w:instrText xml:space="preserve"> PAGEREF _Toc143350532 \h </w:instrText>
      </w:r>
      <w:r>
        <w:fldChar w:fldCharType="separate"/>
      </w:r>
      <w:r>
        <w:t>44</w:t>
      </w:r>
      <w:r>
        <w:fldChar w:fldCharType="end"/>
      </w:r>
      <w:r>
        <w:fldChar w:fldCharType="end"/>
      </w:r>
    </w:p>
    <w:p>
      <w:pPr>
        <w:pStyle w:val="15"/>
        <w:tabs>
          <w:tab w:val="right" w:leader="dot" w:pos="8296"/>
        </w:tabs>
        <w:rPr>
          <w:kern w:val="2"/>
          <w:sz w:val="21"/>
        </w:rPr>
      </w:pPr>
      <w:r>
        <w:fldChar w:fldCharType="begin"/>
      </w:r>
      <w:r>
        <w:instrText xml:space="preserve"> HYPERLINK \l "_Toc143350533" </w:instrText>
      </w:r>
      <w:r>
        <w:fldChar w:fldCharType="separate"/>
      </w:r>
      <w:r>
        <w:rPr>
          <w:rStyle w:val="40"/>
          <w:rFonts w:hint="eastAsia"/>
        </w:rPr>
        <w:t>四、单位负责人为同一人或者存在直接控股、管理关系的不同投标人，不得参加同一合同项下的政府采购活动声明函</w:t>
      </w:r>
      <w:r>
        <w:tab/>
      </w:r>
      <w:r>
        <w:fldChar w:fldCharType="begin"/>
      </w:r>
      <w:r>
        <w:instrText xml:space="preserve"> PAGEREF _Toc143350533 \h </w:instrText>
      </w:r>
      <w:r>
        <w:fldChar w:fldCharType="separate"/>
      </w:r>
      <w:r>
        <w:t>45</w:t>
      </w:r>
      <w:r>
        <w:fldChar w:fldCharType="end"/>
      </w:r>
      <w:r>
        <w:fldChar w:fldCharType="end"/>
      </w:r>
    </w:p>
    <w:p>
      <w:pPr>
        <w:pStyle w:val="15"/>
        <w:tabs>
          <w:tab w:val="right" w:leader="dot" w:pos="8296"/>
        </w:tabs>
        <w:rPr>
          <w:kern w:val="2"/>
          <w:sz w:val="21"/>
        </w:rPr>
      </w:pPr>
      <w:r>
        <w:fldChar w:fldCharType="begin"/>
      </w:r>
      <w:r>
        <w:instrText xml:space="preserve"> HYPERLINK \l "_Toc143350534" </w:instrText>
      </w:r>
      <w:r>
        <w:fldChar w:fldCharType="separate"/>
      </w:r>
      <w:r>
        <w:rPr>
          <w:rStyle w:val="40"/>
          <w:rFonts w:hint="eastAsia"/>
        </w:rPr>
        <w:t>五、反商业贿赂承诺书</w:t>
      </w:r>
      <w:r>
        <w:tab/>
      </w:r>
      <w:r>
        <w:fldChar w:fldCharType="begin"/>
      </w:r>
      <w:r>
        <w:instrText xml:space="preserve"> PAGEREF _Toc143350534 \h </w:instrText>
      </w:r>
      <w:r>
        <w:fldChar w:fldCharType="separate"/>
      </w:r>
      <w:r>
        <w:t>46</w:t>
      </w:r>
      <w:r>
        <w:fldChar w:fldCharType="end"/>
      </w:r>
      <w:r>
        <w:fldChar w:fldCharType="end"/>
      </w:r>
    </w:p>
    <w:p>
      <w:pPr>
        <w:pStyle w:val="25"/>
        <w:tabs>
          <w:tab w:val="right" w:leader="dot" w:pos="8296"/>
        </w:tabs>
        <w:rPr>
          <w:kern w:val="2"/>
          <w:sz w:val="21"/>
        </w:rPr>
      </w:pPr>
      <w:r>
        <w:fldChar w:fldCharType="begin"/>
      </w:r>
      <w:r>
        <w:instrText xml:space="preserve"> HYPERLINK \l "_Toc143350535" </w:instrText>
      </w:r>
      <w:r>
        <w:fldChar w:fldCharType="separate"/>
      </w:r>
      <w:r>
        <w:rPr>
          <w:rStyle w:val="40"/>
          <w:rFonts w:hint="eastAsia"/>
        </w:rPr>
        <w:t>第二部分商务、技术文件</w:t>
      </w:r>
      <w:r>
        <w:tab/>
      </w:r>
      <w:r>
        <w:fldChar w:fldCharType="begin"/>
      </w:r>
      <w:r>
        <w:instrText xml:space="preserve"> PAGEREF _Toc143350535 \h </w:instrText>
      </w:r>
      <w:r>
        <w:fldChar w:fldCharType="separate"/>
      </w:r>
      <w:r>
        <w:t>47</w:t>
      </w:r>
      <w:r>
        <w:fldChar w:fldCharType="end"/>
      </w:r>
      <w:r>
        <w:fldChar w:fldCharType="end"/>
      </w:r>
    </w:p>
    <w:p>
      <w:pPr>
        <w:pStyle w:val="15"/>
        <w:tabs>
          <w:tab w:val="right" w:leader="dot" w:pos="8296"/>
        </w:tabs>
        <w:rPr>
          <w:kern w:val="2"/>
          <w:sz w:val="21"/>
        </w:rPr>
      </w:pPr>
      <w:r>
        <w:fldChar w:fldCharType="begin"/>
      </w:r>
      <w:r>
        <w:instrText xml:space="preserve"> HYPERLINK \l "_Toc143350536" </w:instrText>
      </w:r>
      <w:r>
        <w:fldChar w:fldCharType="separate"/>
      </w:r>
      <w:r>
        <w:rPr>
          <w:rStyle w:val="40"/>
          <w:rFonts w:hint="eastAsia"/>
        </w:rPr>
        <w:t>一、投标函</w:t>
      </w:r>
      <w:r>
        <w:tab/>
      </w:r>
      <w:r>
        <w:fldChar w:fldCharType="begin"/>
      </w:r>
      <w:r>
        <w:instrText xml:space="preserve"> PAGEREF _Toc143350536 \h </w:instrText>
      </w:r>
      <w:r>
        <w:fldChar w:fldCharType="separate"/>
      </w:r>
      <w:r>
        <w:t>48</w:t>
      </w:r>
      <w:r>
        <w:fldChar w:fldCharType="end"/>
      </w:r>
      <w:r>
        <w:fldChar w:fldCharType="end"/>
      </w:r>
    </w:p>
    <w:p>
      <w:pPr>
        <w:pStyle w:val="15"/>
        <w:tabs>
          <w:tab w:val="right" w:leader="dot" w:pos="8296"/>
        </w:tabs>
        <w:rPr>
          <w:kern w:val="2"/>
          <w:sz w:val="21"/>
        </w:rPr>
      </w:pPr>
      <w:r>
        <w:fldChar w:fldCharType="begin"/>
      </w:r>
      <w:r>
        <w:instrText xml:space="preserve"> HYPERLINK \l "_Toc143350537" </w:instrText>
      </w:r>
      <w:r>
        <w:fldChar w:fldCharType="separate"/>
      </w:r>
      <w:r>
        <w:rPr>
          <w:rStyle w:val="40"/>
          <w:rFonts w:hint="eastAsia"/>
        </w:rPr>
        <w:t>二、投标报价表格</w:t>
      </w:r>
      <w:r>
        <w:tab/>
      </w:r>
      <w:r>
        <w:fldChar w:fldCharType="begin"/>
      </w:r>
      <w:r>
        <w:instrText xml:space="preserve"> PAGEREF _Toc143350537 \h </w:instrText>
      </w:r>
      <w:r>
        <w:fldChar w:fldCharType="separate"/>
      </w:r>
      <w:r>
        <w:t>49</w:t>
      </w:r>
      <w:r>
        <w:fldChar w:fldCharType="end"/>
      </w:r>
      <w:r>
        <w:fldChar w:fldCharType="end"/>
      </w:r>
    </w:p>
    <w:p>
      <w:pPr>
        <w:pStyle w:val="15"/>
        <w:tabs>
          <w:tab w:val="right" w:leader="dot" w:pos="8296"/>
        </w:tabs>
        <w:rPr>
          <w:kern w:val="2"/>
          <w:sz w:val="21"/>
        </w:rPr>
      </w:pPr>
      <w:r>
        <w:fldChar w:fldCharType="begin"/>
      </w:r>
      <w:r>
        <w:instrText xml:space="preserve"> HYPERLINK \l "_Toc143350538" </w:instrText>
      </w:r>
      <w:r>
        <w:fldChar w:fldCharType="separate"/>
      </w:r>
      <w:r>
        <w:rPr>
          <w:rStyle w:val="40"/>
          <w:rFonts w:hint="eastAsia"/>
        </w:rPr>
        <w:t>三、技术规格偏差表</w:t>
      </w:r>
      <w:r>
        <w:tab/>
      </w:r>
      <w:r>
        <w:fldChar w:fldCharType="begin"/>
      </w:r>
      <w:r>
        <w:instrText xml:space="preserve"> PAGEREF _Toc143350538 \h </w:instrText>
      </w:r>
      <w:r>
        <w:fldChar w:fldCharType="separate"/>
      </w:r>
      <w:r>
        <w:t>51</w:t>
      </w:r>
      <w:r>
        <w:fldChar w:fldCharType="end"/>
      </w:r>
      <w:r>
        <w:fldChar w:fldCharType="end"/>
      </w:r>
    </w:p>
    <w:p>
      <w:pPr>
        <w:pStyle w:val="15"/>
        <w:tabs>
          <w:tab w:val="right" w:leader="dot" w:pos="8296"/>
        </w:tabs>
        <w:rPr>
          <w:kern w:val="2"/>
          <w:sz w:val="21"/>
        </w:rPr>
      </w:pPr>
      <w:r>
        <w:fldChar w:fldCharType="begin"/>
      </w:r>
      <w:r>
        <w:instrText xml:space="preserve"> HYPERLINK \l "_Toc143350539" </w:instrText>
      </w:r>
      <w:r>
        <w:fldChar w:fldCharType="separate"/>
      </w:r>
      <w:r>
        <w:rPr>
          <w:rStyle w:val="40"/>
          <w:rFonts w:hint="eastAsia"/>
        </w:rPr>
        <w:t>四、实施方案</w:t>
      </w:r>
      <w:r>
        <w:tab/>
      </w:r>
      <w:r>
        <w:fldChar w:fldCharType="begin"/>
      </w:r>
      <w:r>
        <w:instrText xml:space="preserve"> PAGEREF _Toc143350539 \h </w:instrText>
      </w:r>
      <w:r>
        <w:fldChar w:fldCharType="separate"/>
      </w:r>
      <w:r>
        <w:t>52</w:t>
      </w:r>
      <w:r>
        <w:fldChar w:fldCharType="end"/>
      </w:r>
      <w:r>
        <w:fldChar w:fldCharType="end"/>
      </w:r>
    </w:p>
    <w:p>
      <w:pPr>
        <w:pStyle w:val="15"/>
        <w:tabs>
          <w:tab w:val="right" w:leader="dot" w:pos="8296"/>
        </w:tabs>
        <w:rPr>
          <w:kern w:val="2"/>
          <w:sz w:val="21"/>
        </w:rPr>
      </w:pPr>
      <w:r>
        <w:fldChar w:fldCharType="begin"/>
      </w:r>
      <w:r>
        <w:instrText xml:space="preserve"> HYPERLINK \l "_Toc143350540" </w:instrText>
      </w:r>
      <w:r>
        <w:fldChar w:fldCharType="separate"/>
      </w:r>
      <w:r>
        <w:rPr>
          <w:rStyle w:val="40"/>
          <w:rFonts w:hint="eastAsia"/>
        </w:rPr>
        <w:t>五、售后服务承诺</w:t>
      </w:r>
      <w:r>
        <w:tab/>
      </w:r>
      <w:r>
        <w:fldChar w:fldCharType="begin"/>
      </w:r>
      <w:r>
        <w:instrText xml:space="preserve"> PAGEREF _Toc143350540 \h </w:instrText>
      </w:r>
      <w:r>
        <w:fldChar w:fldCharType="separate"/>
      </w:r>
      <w:r>
        <w:t>53</w:t>
      </w:r>
      <w:r>
        <w:fldChar w:fldCharType="end"/>
      </w:r>
      <w:r>
        <w:fldChar w:fldCharType="end"/>
      </w:r>
    </w:p>
    <w:p>
      <w:pPr>
        <w:pStyle w:val="15"/>
        <w:tabs>
          <w:tab w:val="right" w:leader="dot" w:pos="8296"/>
        </w:tabs>
        <w:rPr>
          <w:kern w:val="2"/>
          <w:sz w:val="21"/>
        </w:rPr>
      </w:pPr>
      <w:r>
        <w:fldChar w:fldCharType="begin"/>
      </w:r>
      <w:r>
        <w:instrText xml:space="preserve"> HYPERLINK \l "_Toc143350541" </w:instrText>
      </w:r>
      <w:r>
        <w:fldChar w:fldCharType="separate"/>
      </w:r>
      <w:r>
        <w:rPr>
          <w:rStyle w:val="40"/>
          <w:rFonts w:hint="eastAsia"/>
        </w:rPr>
        <w:t>六、投标人承诺函</w:t>
      </w:r>
      <w:r>
        <w:tab/>
      </w:r>
      <w:r>
        <w:fldChar w:fldCharType="begin"/>
      </w:r>
      <w:r>
        <w:instrText xml:space="preserve"> PAGEREF _Toc143350541 \h </w:instrText>
      </w:r>
      <w:r>
        <w:fldChar w:fldCharType="separate"/>
      </w:r>
      <w:r>
        <w:t>54</w:t>
      </w:r>
      <w:r>
        <w:fldChar w:fldCharType="end"/>
      </w:r>
      <w:r>
        <w:fldChar w:fldCharType="end"/>
      </w:r>
    </w:p>
    <w:p>
      <w:pPr>
        <w:pStyle w:val="15"/>
        <w:tabs>
          <w:tab w:val="right" w:leader="dot" w:pos="8296"/>
        </w:tabs>
        <w:rPr>
          <w:kern w:val="2"/>
          <w:sz w:val="21"/>
        </w:rPr>
      </w:pPr>
      <w:r>
        <w:fldChar w:fldCharType="begin"/>
      </w:r>
      <w:r>
        <w:instrText xml:space="preserve"> HYPERLINK \l "_Toc143350542" </w:instrText>
      </w:r>
      <w:r>
        <w:fldChar w:fldCharType="separate"/>
      </w:r>
      <w:r>
        <w:rPr>
          <w:rStyle w:val="40"/>
          <w:rFonts w:hint="eastAsia"/>
        </w:rPr>
        <w:t>七、近三年类似业绩及目前正在执行合同的情况</w:t>
      </w:r>
      <w:r>
        <w:tab/>
      </w:r>
      <w:r>
        <w:fldChar w:fldCharType="begin"/>
      </w:r>
      <w:r>
        <w:instrText xml:space="preserve"> PAGEREF _Toc143350542 \h </w:instrText>
      </w:r>
      <w:r>
        <w:fldChar w:fldCharType="separate"/>
      </w:r>
      <w:r>
        <w:t>57</w:t>
      </w:r>
      <w:r>
        <w:fldChar w:fldCharType="end"/>
      </w:r>
      <w:r>
        <w:fldChar w:fldCharType="end"/>
      </w:r>
    </w:p>
    <w:p>
      <w:pPr>
        <w:pStyle w:val="15"/>
        <w:tabs>
          <w:tab w:val="right" w:leader="dot" w:pos="8296"/>
        </w:tabs>
        <w:rPr>
          <w:kern w:val="2"/>
          <w:sz w:val="21"/>
        </w:rPr>
      </w:pPr>
      <w:r>
        <w:fldChar w:fldCharType="begin"/>
      </w:r>
      <w:r>
        <w:instrText xml:space="preserve"> HYPERLINK \l "_Toc143350543" </w:instrText>
      </w:r>
      <w:r>
        <w:fldChar w:fldCharType="separate"/>
      </w:r>
      <w:r>
        <w:rPr>
          <w:rStyle w:val="40"/>
          <w:rFonts w:hint="eastAsia"/>
        </w:rPr>
        <w:t>八、投标人简介</w:t>
      </w:r>
      <w:r>
        <w:tab/>
      </w:r>
      <w:r>
        <w:fldChar w:fldCharType="begin"/>
      </w:r>
      <w:r>
        <w:instrText xml:space="preserve"> PAGEREF _Toc143350543 \h </w:instrText>
      </w:r>
      <w:r>
        <w:fldChar w:fldCharType="separate"/>
      </w:r>
      <w:r>
        <w:t>58</w:t>
      </w:r>
      <w:r>
        <w:fldChar w:fldCharType="end"/>
      </w:r>
      <w:r>
        <w:fldChar w:fldCharType="end"/>
      </w:r>
    </w:p>
    <w:p>
      <w:pPr>
        <w:pStyle w:val="15"/>
        <w:tabs>
          <w:tab w:val="right" w:leader="dot" w:pos="8296"/>
        </w:tabs>
        <w:rPr>
          <w:kern w:val="2"/>
          <w:sz w:val="21"/>
        </w:rPr>
      </w:pPr>
      <w:r>
        <w:fldChar w:fldCharType="begin"/>
      </w:r>
      <w:r>
        <w:instrText xml:space="preserve"> HYPERLINK \l "_Toc143350544" </w:instrText>
      </w:r>
      <w:r>
        <w:fldChar w:fldCharType="separate"/>
      </w:r>
      <w:r>
        <w:rPr>
          <w:rStyle w:val="40"/>
          <w:rFonts w:hint="eastAsia"/>
        </w:rPr>
        <w:t>九、中小企业声明函</w:t>
      </w:r>
      <w:r>
        <w:tab/>
      </w:r>
      <w:r>
        <w:fldChar w:fldCharType="begin"/>
      </w:r>
      <w:r>
        <w:instrText xml:space="preserve"> PAGEREF _Toc143350544 \h </w:instrText>
      </w:r>
      <w:r>
        <w:fldChar w:fldCharType="separate"/>
      </w:r>
      <w:r>
        <w:t>59</w:t>
      </w:r>
      <w:r>
        <w:fldChar w:fldCharType="end"/>
      </w:r>
      <w:r>
        <w:fldChar w:fldCharType="end"/>
      </w:r>
    </w:p>
    <w:p>
      <w:pPr>
        <w:pStyle w:val="15"/>
        <w:tabs>
          <w:tab w:val="right" w:leader="dot" w:pos="8296"/>
        </w:tabs>
        <w:rPr>
          <w:kern w:val="2"/>
          <w:sz w:val="21"/>
        </w:rPr>
      </w:pPr>
      <w:r>
        <w:fldChar w:fldCharType="begin"/>
      </w:r>
      <w:r>
        <w:instrText xml:space="preserve"> HYPERLINK \l "_Toc143350545" </w:instrText>
      </w:r>
      <w:r>
        <w:fldChar w:fldCharType="separate"/>
      </w:r>
      <w:r>
        <w:rPr>
          <w:rStyle w:val="40"/>
          <w:rFonts w:hint="eastAsia"/>
        </w:rPr>
        <w:t>十、政府强制采购的节能产品证明资料（如采购范围内不包含的可不提供）</w:t>
      </w:r>
      <w:r>
        <w:tab/>
      </w:r>
      <w:r>
        <w:fldChar w:fldCharType="begin"/>
      </w:r>
      <w:r>
        <w:instrText xml:space="preserve"> PAGEREF _Toc143350545 \h </w:instrText>
      </w:r>
      <w:r>
        <w:fldChar w:fldCharType="separate"/>
      </w:r>
      <w:r>
        <w:t>61</w:t>
      </w:r>
      <w:r>
        <w:fldChar w:fldCharType="end"/>
      </w:r>
      <w:r>
        <w:fldChar w:fldCharType="end"/>
      </w:r>
    </w:p>
    <w:p>
      <w:pPr>
        <w:pStyle w:val="15"/>
        <w:tabs>
          <w:tab w:val="right" w:leader="dot" w:pos="8296"/>
        </w:tabs>
        <w:rPr>
          <w:kern w:val="2"/>
          <w:sz w:val="21"/>
        </w:rPr>
      </w:pPr>
      <w:r>
        <w:fldChar w:fldCharType="begin"/>
      </w:r>
      <w:r>
        <w:instrText xml:space="preserve"> HYPERLINK \l "_Toc143350546" </w:instrText>
      </w:r>
      <w:r>
        <w:fldChar w:fldCharType="separate"/>
      </w:r>
      <w:r>
        <w:rPr>
          <w:rStyle w:val="40"/>
          <w:rFonts w:hint="eastAsia"/>
        </w:rPr>
        <w:t>十一、投标人认为需要提供的其他资料</w:t>
      </w:r>
      <w:r>
        <w:tab/>
      </w:r>
      <w:r>
        <w:fldChar w:fldCharType="begin"/>
      </w:r>
      <w:r>
        <w:instrText xml:space="preserve"> PAGEREF _Toc143350546 \h </w:instrText>
      </w:r>
      <w:r>
        <w:fldChar w:fldCharType="separate"/>
      </w:r>
      <w:r>
        <w:t>66</w:t>
      </w:r>
      <w:r>
        <w:fldChar w:fldCharType="end"/>
      </w:r>
      <w:r>
        <w:fldChar w:fldCharType="end"/>
      </w:r>
    </w:p>
    <w:p>
      <w:pPr>
        <w:pStyle w:val="22"/>
        <w:tabs>
          <w:tab w:val="right" w:leader="dot" w:pos="8296"/>
        </w:tabs>
        <w:rPr>
          <w:kern w:val="2"/>
          <w:sz w:val="21"/>
        </w:rPr>
      </w:pPr>
      <w:r>
        <w:fldChar w:fldCharType="begin"/>
      </w:r>
      <w:r>
        <w:instrText xml:space="preserve"> HYPERLINK \l "_Toc143350547" </w:instrText>
      </w:r>
      <w:r>
        <w:fldChar w:fldCharType="separate"/>
      </w:r>
      <w:r>
        <w:rPr>
          <w:rStyle w:val="40"/>
          <w:rFonts w:hint="eastAsia" w:asciiTheme="minorEastAsia" w:hAnsiTheme="minorEastAsia"/>
        </w:rPr>
        <w:t>第六章 采购需求</w:t>
      </w:r>
      <w:r>
        <w:tab/>
      </w:r>
      <w:r>
        <w:fldChar w:fldCharType="begin"/>
      </w:r>
      <w:r>
        <w:instrText xml:space="preserve"> PAGEREF _Toc143350547 \h </w:instrText>
      </w:r>
      <w:r>
        <w:fldChar w:fldCharType="separate"/>
      </w:r>
      <w:r>
        <w:t>67</w:t>
      </w:r>
      <w:r>
        <w:fldChar w:fldCharType="end"/>
      </w:r>
      <w:r>
        <w:fldChar w:fldCharType="end"/>
      </w:r>
    </w:p>
    <w:p>
      <w:pPr>
        <w:pStyle w:val="22"/>
        <w:tabs>
          <w:tab w:val="right" w:leader="dot" w:pos="8296"/>
        </w:tabs>
        <w:rPr>
          <w:kern w:val="2"/>
          <w:sz w:val="21"/>
        </w:rPr>
      </w:pPr>
      <w:r>
        <w:fldChar w:fldCharType="begin"/>
      </w:r>
      <w:r>
        <w:instrText xml:space="preserve"> HYPERLINK \l "_Toc143350548" </w:instrText>
      </w:r>
      <w:r>
        <w:fldChar w:fldCharType="separate"/>
      </w:r>
      <w:r>
        <w:rPr>
          <w:rStyle w:val="40"/>
          <w:rFonts w:hint="eastAsia" w:asciiTheme="minorEastAsia" w:hAnsiTheme="minorEastAsia"/>
        </w:rPr>
        <w:t>郑州市中原区政府采购合同融资政策告知函</w:t>
      </w:r>
      <w:r>
        <w:tab/>
      </w:r>
      <w:r>
        <w:fldChar w:fldCharType="begin"/>
      </w:r>
      <w:r>
        <w:instrText xml:space="preserve"> PAGEREF _Toc143350548 \h </w:instrText>
      </w:r>
      <w:r>
        <w:fldChar w:fldCharType="separate"/>
      </w:r>
      <w:r>
        <w:t>126</w:t>
      </w:r>
      <w:r>
        <w:fldChar w:fldCharType="end"/>
      </w:r>
      <w:r>
        <w:fldChar w:fldCharType="end"/>
      </w:r>
    </w:p>
    <w:p>
      <w:pPr>
        <w:widowControl/>
        <w:jc w:val="left"/>
      </w:pPr>
      <w:r>
        <w:fldChar w:fldCharType="end"/>
      </w:r>
    </w:p>
    <w:p>
      <w:pPr>
        <w:widowControl/>
        <w:jc w:val="left"/>
      </w:pPr>
    </w:p>
    <w:p>
      <w:pPr>
        <w:widowControl/>
        <w:jc w:val="left"/>
        <w:rPr>
          <w:rFonts w:asciiTheme="minorEastAsia" w:hAnsiTheme="minorEastAsia"/>
          <w:b/>
          <w:bCs/>
          <w:kern w:val="44"/>
          <w:sz w:val="32"/>
          <w:szCs w:val="44"/>
        </w:rPr>
      </w:pPr>
      <w:bookmarkStart w:id="0" w:name="_Hlk41555242"/>
      <w:r>
        <w:rPr>
          <w:rFonts w:asciiTheme="minorEastAsia" w:hAnsiTheme="minorEastAsia"/>
          <w:sz w:val="32"/>
        </w:rPr>
        <w:br w:type="page"/>
      </w:r>
    </w:p>
    <w:p>
      <w:pPr>
        <w:pStyle w:val="3"/>
        <w:numPr>
          <w:ilvl w:val="0"/>
          <w:numId w:val="1"/>
        </w:numPr>
        <w:spacing w:before="0" w:after="0"/>
        <w:jc w:val="center"/>
        <w:rPr>
          <w:rFonts w:asciiTheme="minorEastAsia" w:hAnsiTheme="minorEastAsia"/>
          <w:sz w:val="32"/>
        </w:rPr>
      </w:pPr>
      <w:bookmarkStart w:id="1" w:name="_Toc143350508"/>
      <w:r>
        <w:rPr>
          <w:rFonts w:hint="eastAsia" w:asciiTheme="minorEastAsia" w:hAnsiTheme="minorEastAsia"/>
          <w:sz w:val="32"/>
        </w:rPr>
        <w:t>招标公告</w:t>
      </w:r>
      <w:bookmarkEnd w:id="1"/>
    </w:p>
    <w:p>
      <w:pPr>
        <w:jc w:val="center"/>
        <w:rPr>
          <w:rFonts w:ascii="宋体" w:hAnsi="宋体" w:cs="宋体"/>
          <w:kern w:val="0"/>
          <w:sz w:val="24"/>
          <w:szCs w:val="24"/>
          <w:lang w:val="zh-CN"/>
        </w:rPr>
      </w:pPr>
      <w:bookmarkStart w:id="2" w:name="_Hlk44669664"/>
      <w:r>
        <w:rPr>
          <w:rFonts w:hint="eastAsia" w:ascii="宋体" w:hAnsi="宋体" w:cs="宋体"/>
          <w:kern w:val="0"/>
          <w:sz w:val="24"/>
          <w:szCs w:val="24"/>
          <w:lang w:val="zh-CN"/>
        </w:rPr>
        <w:t>郑州市第六十五中学实验室、录播室、学科教室、班级灯光设施设备采购项目招标公告</w:t>
      </w:r>
    </w:p>
    <w:bookmarkEnd w:id="0"/>
    <w:p>
      <w:pPr>
        <w:widowControl/>
        <w:adjustRightInd w:val="0"/>
        <w:snapToGrid w:val="0"/>
        <w:spacing w:line="440" w:lineRule="exact"/>
        <w:jc w:val="left"/>
        <w:rPr>
          <w:rFonts w:ascii="宋体" w:hAnsi="宋体" w:eastAsia="宋体" w:cs="宋体"/>
          <w:kern w:val="0"/>
          <w:sz w:val="24"/>
          <w:szCs w:val="24"/>
        </w:rPr>
      </w:pPr>
      <w:bookmarkStart w:id="3" w:name="_Hlk41555224"/>
      <w:bookmarkEnd w:id="3"/>
      <w:r>
        <w:rPr>
          <w:rFonts w:hint="eastAsia" w:ascii="宋体" w:hAnsi="宋体" w:eastAsia="宋体" w:cs="宋体"/>
          <w:kern w:val="0"/>
          <w:sz w:val="24"/>
          <w:szCs w:val="24"/>
        </w:rPr>
        <w:t>一、项目基本情况</w:t>
      </w:r>
    </w:p>
    <w:p>
      <w:pPr>
        <w:widowControl/>
        <w:adjustRightInd w:val="0"/>
        <w:snapToGrid w:val="0"/>
        <w:spacing w:line="440" w:lineRule="exact"/>
        <w:ind w:firstLine="480" w:firstLineChars="200"/>
        <w:jc w:val="left"/>
        <w:rPr>
          <w:rFonts w:ascii="宋体" w:hAnsi="宋体" w:eastAsia="宋体" w:cs="宋体"/>
          <w:kern w:val="0"/>
          <w:sz w:val="24"/>
          <w:szCs w:val="24"/>
          <w:u w:val="single"/>
        </w:rPr>
      </w:pPr>
      <w:r>
        <w:rPr>
          <w:rFonts w:ascii="宋体" w:hAnsi="宋体" w:eastAsia="宋体" w:cs="宋体"/>
          <w:kern w:val="0"/>
          <w:sz w:val="24"/>
          <w:szCs w:val="24"/>
        </w:rPr>
        <w:t>1.</w:t>
      </w:r>
      <w:r>
        <w:rPr>
          <w:rFonts w:hint="eastAsia" w:ascii="宋体" w:hAnsi="宋体" w:eastAsia="宋体" w:cs="宋体"/>
          <w:kern w:val="0"/>
          <w:sz w:val="24"/>
          <w:szCs w:val="24"/>
        </w:rPr>
        <w:t>项目编号：中原公开-2023-37</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项目名称：</w:t>
      </w:r>
      <w:r>
        <w:rPr>
          <w:rFonts w:hint="eastAsia" w:ascii="宋体" w:hAnsi="宋体" w:eastAsia="宋体" w:cs="宋体"/>
          <w:kern w:val="0"/>
          <w:sz w:val="24"/>
          <w:szCs w:val="24"/>
          <w:lang w:val="zh-CN"/>
        </w:rPr>
        <w:t>郑州市第六十五中学实验室、录播室、学科教室、班级灯光设施设备采购项目</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3.</w:t>
      </w:r>
      <w:r>
        <w:rPr>
          <w:rFonts w:hint="eastAsia" w:ascii="宋体" w:hAnsi="宋体" w:eastAsia="宋体" w:cs="宋体"/>
          <w:kern w:val="0"/>
          <w:sz w:val="24"/>
          <w:szCs w:val="24"/>
        </w:rPr>
        <w:t>采购方式：公开招标</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4.</w:t>
      </w:r>
      <w:r>
        <w:rPr>
          <w:rFonts w:hint="eastAsia" w:ascii="宋体" w:hAnsi="宋体" w:eastAsia="宋体" w:cs="宋体"/>
          <w:kern w:val="0"/>
          <w:sz w:val="24"/>
          <w:szCs w:val="24"/>
        </w:rPr>
        <w:t>预算金额：2052017.71元</w:t>
      </w:r>
    </w:p>
    <w:p>
      <w:pPr>
        <w:widowControl/>
        <w:adjustRightInd w:val="0"/>
        <w:snapToGrid w:val="0"/>
        <w:spacing w:line="440" w:lineRule="exact"/>
        <w:ind w:firstLine="720" w:firstLineChars="300"/>
        <w:jc w:val="left"/>
        <w:rPr>
          <w:rFonts w:ascii="宋体" w:hAnsi="宋体" w:eastAsia="宋体" w:cs="宋体"/>
          <w:kern w:val="0"/>
          <w:sz w:val="24"/>
          <w:szCs w:val="24"/>
        </w:rPr>
      </w:pPr>
      <w:r>
        <w:rPr>
          <w:rFonts w:hint="eastAsia" w:ascii="宋体" w:hAnsi="宋体" w:eastAsia="宋体" w:cs="宋体"/>
          <w:kern w:val="0"/>
          <w:sz w:val="24"/>
          <w:szCs w:val="24"/>
          <w:lang w:val="zh-CN"/>
        </w:rPr>
        <w:t>最高限价：</w:t>
      </w:r>
      <w:r>
        <w:rPr>
          <w:rFonts w:hint="eastAsia" w:ascii="宋体" w:hAnsi="宋体" w:eastAsia="宋体" w:cs="宋体"/>
          <w:kern w:val="0"/>
          <w:sz w:val="24"/>
          <w:szCs w:val="24"/>
        </w:rPr>
        <w:t>2052017.71元</w:t>
      </w:r>
    </w:p>
    <w:tbl>
      <w:tblPr>
        <w:tblStyle w:val="31"/>
        <w:tblW w:w="42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218"/>
        <w:gridCol w:w="2107"/>
        <w:gridCol w:w="1380"/>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序号</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包号</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包名称</w:t>
            </w:r>
          </w:p>
        </w:tc>
        <w:tc>
          <w:tcPr>
            <w:tcW w:w="942"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包预算（元）</w:t>
            </w:r>
          </w:p>
        </w:tc>
        <w:tc>
          <w:tcPr>
            <w:tcW w:w="1300"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1</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A包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实验室设备、录播室设备</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1313787.71</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1313787.71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2</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B包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学科教室设备</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493790.00</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493790.00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3</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C包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班级灯光</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244440.00</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244440.00</w:t>
            </w:r>
          </w:p>
        </w:tc>
      </w:tr>
    </w:tbl>
    <w:p>
      <w:pPr>
        <w:widowControl/>
        <w:adjustRightInd w:val="0"/>
        <w:snapToGrid w:val="0"/>
        <w:spacing w:line="440" w:lineRule="exact"/>
        <w:ind w:left="420" w:leftChars="200"/>
        <w:jc w:val="left"/>
        <w:rPr>
          <w:rFonts w:ascii="宋体" w:hAnsi="宋体" w:eastAsia="宋体" w:cs="宋体"/>
          <w:kern w:val="0"/>
          <w:sz w:val="24"/>
          <w:szCs w:val="24"/>
        </w:rPr>
      </w:pPr>
      <w:r>
        <w:rPr>
          <w:rFonts w:hint="eastAsia" w:ascii="宋体" w:hAnsi="宋体" w:eastAsia="宋体" w:cs="宋体"/>
          <w:kern w:val="0"/>
          <w:sz w:val="24"/>
          <w:szCs w:val="24"/>
          <w:lang w:val="zh-CN"/>
        </w:rPr>
        <w:t>5</w:t>
      </w:r>
      <w:r>
        <w:rPr>
          <w:rFonts w:ascii="宋体" w:hAnsi="宋体" w:eastAsia="宋体" w:cs="宋体"/>
          <w:kern w:val="0"/>
          <w:sz w:val="24"/>
          <w:szCs w:val="24"/>
          <w:lang w:val="zh-CN"/>
        </w:rPr>
        <w:t>.</w:t>
      </w:r>
      <w:r>
        <w:rPr>
          <w:rFonts w:hint="eastAsia" w:ascii="宋体" w:hAnsi="宋体" w:eastAsia="宋体" w:cs="宋体"/>
          <w:kern w:val="0"/>
          <w:sz w:val="24"/>
          <w:szCs w:val="24"/>
          <w:lang w:val="zh-CN"/>
        </w:rPr>
        <w:t>采购需求（</w:t>
      </w:r>
      <w:r>
        <w:rPr>
          <w:rFonts w:hint="eastAsia" w:ascii="宋体" w:hAnsi="宋体" w:eastAsia="宋体" w:cs="宋体"/>
          <w:kern w:val="0"/>
          <w:sz w:val="24"/>
          <w:szCs w:val="24"/>
        </w:rPr>
        <w:t>包括但不限于标的的名称、数量、简要技术要求或服务要求等</w:t>
      </w:r>
      <w:r>
        <w:rPr>
          <w:rFonts w:hint="eastAsia" w:ascii="宋体" w:hAnsi="宋体" w:eastAsia="宋体" w:cs="宋体"/>
          <w:kern w:val="0"/>
          <w:sz w:val="24"/>
          <w:szCs w:val="24"/>
          <w:lang w:val="zh-CN"/>
        </w:rPr>
        <w:t>）</w:t>
      </w:r>
      <w:r>
        <w:rPr>
          <w:rFonts w:hint="eastAsia" w:ascii="宋体" w:hAnsi="宋体" w:eastAsia="宋体" w:cs="宋体"/>
          <w:kern w:val="0"/>
          <w:sz w:val="24"/>
          <w:szCs w:val="24"/>
        </w:rPr>
        <w:t>5</w:t>
      </w:r>
      <w:r>
        <w:rPr>
          <w:rFonts w:ascii="宋体" w:hAnsi="宋体" w:eastAsia="宋体" w:cs="宋体"/>
          <w:kern w:val="0"/>
          <w:sz w:val="24"/>
          <w:szCs w:val="24"/>
        </w:rPr>
        <w:t>.1</w:t>
      </w:r>
      <w:r>
        <w:rPr>
          <w:rFonts w:hint="eastAsia" w:ascii="宋体" w:hAnsi="宋体" w:eastAsia="宋体" w:cs="宋体"/>
          <w:kern w:val="0"/>
          <w:sz w:val="24"/>
          <w:szCs w:val="24"/>
        </w:rPr>
        <w:t>采购内容：详见附件招标文件采购需求</w:t>
      </w:r>
      <w:r>
        <w:rPr>
          <w:rFonts w:hint="eastAsia" w:ascii="宋体" w:hAnsi="宋体" w:eastAsia="宋体" w:cs="宋体"/>
          <w:kern w:val="0"/>
          <w:sz w:val="24"/>
          <w:szCs w:val="24"/>
          <w:lang w:val="zh-CN"/>
        </w:rPr>
        <w:t>。</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5.2资金来源：财政资金</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5.3交货期：签订合同之日起30日历天内</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6</w:t>
      </w:r>
      <w:r>
        <w:rPr>
          <w:rFonts w:ascii="宋体" w:hAnsi="宋体" w:eastAsia="宋体" w:cs="宋体"/>
          <w:kern w:val="0"/>
          <w:sz w:val="24"/>
          <w:szCs w:val="24"/>
        </w:rPr>
        <w:t>.</w:t>
      </w:r>
      <w:r>
        <w:rPr>
          <w:rFonts w:hint="eastAsia" w:ascii="宋体" w:hAnsi="宋体" w:eastAsia="宋体" w:cs="宋体"/>
          <w:kern w:val="0"/>
          <w:sz w:val="24"/>
          <w:szCs w:val="24"/>
        </w:rPr>
        <w:t>合同履行期限：自合同生效至全部服务结束</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7</w:t>
      </w:r>
      <w:r>
        <w:rPr>
          <w:rFonts w:ascii="宋体" w:hAnsi="宋体" w:eastAsia="宋体" w:cs="宋体"/>
          <w:kern w:val="0"/>
          <w:sz w:val="24"/>
          <w:szCs w:val="24"/>
        </w:rPr>
        <w:t>.</w:t>
      </w:r>
      <w:r>
        <w:rPr>
          <w:rFonts w:hint="eastAsia" w:ascii="宋体" w:hAnsi="宋体" w:eastAsia="宋体" w:cs="宋体"/>
          <w:kern w:val="0"/>
          <w:sz w:val="24"/>
          <w:szCs w:val="24"/>
        </w:rPr>
        <w:t>本项目是否接受联合体投标：否</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8</w:t>
      </w:r>
      <w:r>
        <w:rPr>
          <w:rFonts w:ascii="宋体" w:hAnsi="宋体" w:eastAsia="宋体" w:cs="宋体"/>
          <w:kern w:val="0"/>
          <w:sz w:val="24"/>
          <w:szCs w:val="24"/>
        </w:rPr>
        <w:t>.</w:t>
      </w:r>
      <w:r>
        <w:rPr>
          <w:rFonts w:hint="eastAsia" w:ascii="宋体" w:hAnsi="宋体" w:eastAsia="宋体" w:cs="宋体"/>
          <w:kern w:val="0"/>
          <w:sz w:val="24"/>
          <w:szCs w:val="24"/>
        </w:rPr>
        <w:t>是否接受进口产品：否</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9</w:t>
      </w:r>
      <w:r>
        <w:rPr>
          <w:rFonts w:ascii="宋体" w:hAnsi="宋体" w:eastAsia="宋体" w:cs="宋体"/>
          <w:kern w:val="0"/>
          <w:sz w:val="24"/>
          <w:szCs w:val="24"/>
        </w:rPr>
        <w:t>.</w:t>
      </w:r>
      <w:r>
        <w:rPr>
          <w:rFonts w:hint="eastAsia" w:ascii="宋体" w:hAnsi="宋体" w:eastAsia="宋体" w:cs="宋体"/>
          <w:kern w:val="0"/>
          <w:sz w:val="24"/>
          <w:szCs w:val="24"/>
        </w:rPr>
        <w:t>是否为只面向中小企业采购：否</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二、申请人资格要求</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2.落实政府采购政策需满足的资格要求：无。</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3.本项目的特定资格要求：</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网站(zxgk.court.gov.cn/shixin/）或“信用中国”网站：查询失信被执行人；“信用中国”网站：查询重大税收违法失信主体；中国政府采购网（www.ccgp.gov.cn）：政府采购严重违法失信行为记录名单）。注：采购代理机构在开标后将对所有参与本项目投标的供应商的信用情况（失信被执行人、重大税收违法失信主体、政府采购严重违法失信行为记录名单）进行查询、打印留存。（若在开标当天查询到供应商有相关负面信息的，则该供应商为无效供应商，信用信息查询记录及相关证据与招标文件一并保存。查询时间：本项目开标结束后至评标结束之前）；</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3.2单位负责人为同一人或者存在直接控股、管理关系的不同供应商，不得参加同一合同项下的政府采购活动。</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三、获取招标文件</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1.时间：</w:t>
      </w:r>
      <w:r>
        <w:rPr>
          <w:rFonts w:ascii="宋体" w:hAnsi="宋体" w:eastAsia="宋体" w:cs="宋体"/>
          <w:kern w:val="0"/>
          <w:sz w:val="24"/>
          <w:szCs w:val="24"/>
        </w:rPr>
        <w:t>2023</w:t>
      </w:r>
      <w:r>
        <w:rPr>
          <w:rFonts w:hint="eastAsia" w:ascii="宋体" w:hAnsi="宋体" w:eastAsia="宋体" w:cs="宋体"/>
          <w:kern w:val="0"/>
          <w:sz w:val="24"/>
          <w:szCs w:val="24"/>
        </w:rPr>
        <w:t>年8月28日至2023年9月1日，每天上午00:00</w:t>
      </w:r>
      <w:r>
        <w:rPr>
          <w:rFonts w:hint="eastAsia" w:ascii="宋体" w:hAnsi="宋体" w:eastAsia="宋体" w:cs="宋体"/>
          <w:sz w:val="24"/>
          <w:szCs w:val="24"/>
        </w:rPr>
        <w:t>至12:00，下午12:00至23:59</w:t>
      </w:r>
      <w:r>
        <w:rPr>
          <w:rFonts w:hint="eastAsia" w:ascii="宋体" w:hAnsi="宋体" w:eastAsia="宋体" w:cs="宋体"/>
          <w:kern w:val="0"/>
          <w:sz w:val="24"/>
          <w:szCs w:val="24"/>
        </w:rPr>
        <w:t>（北京时间，法定节假日除外。）</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2.地点：郑州市公共资源交易中心网站</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方式：各潜在投标人请在规定时间内凭CA密钥登录郑州市公共资源交易中心网站，点击“交易主体登陆”进入电子招投标交易平台下载招标文件及资料。投标人未按规定在网上下载招标文件的，其投标文件将被拒绝。</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尚未办理企业CA锁的，可通过以下链接：（http://xaca.hnxaca.com:8081/online/ggzyApply/index.shtml）在线办理。客服电话0371-96596，技术咨询电话：0371-67188807,4009980000。</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4.售价：0元</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四、投标截止时间及地点</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1.时间：2023年9月20日10时00分（北京时间）</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2.地点：郑州市公共资源交易中心网站</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五、开标时间及地点</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val="zh-CN"/>
        </w:rPr>
        <w:t>时间</w:t>
      </w:r>
      <w:r>
        <w:rPr>
          <w:rFonts w:hint="eastAsia" w:ascii="宋体" w:hAnsi="宋体" w:eastAsia="宋体" w:cs="宋体"/>
          <w:kern w:val="0"/>
          <w:sz w:val="24"/>
          <w:szCs w:val="24"/>
        </w:rPr>
        <w:t>：2023年9月20日10时00分（北京时间）</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val="zh-CN"/>
        </w:rPr>
        <w:t>地点</w:t>
      </w:r>
      <w:r>
        <w:rPr>
          <w:rFonts w:hint="eastAsia" w:ascii="宋体" w:hAnsi="宋体" w:eastAsia="宋体" w:cs="宋体"/>
          <w:kern w:val="0"/>
          <w:sz w:val="24"/>
          <w:szCs w:val="24"/>
        </w:rPr>
        <w:t>：</w:t>
      </w:r>
      <w:r>
        <w:rPr>
          <w:rFonts w:hint="eastAsia" w:ascii="宋体" w:hAnsi="宋体" w:eastAsia="宋体" w:cs="宋体"/>
          <w:kern w:val="0"/>
          <w:sz w:val="24"/>
          <w:szCs w:val="24"/>
          <w:lang w:val="zh-CN"/>
        </w:rPr>
        <w:t>郑州市公共资源交易中心门户网站远程开标大厅</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六、发布公告的媒介及招标公告期限</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本次招标公告在《河南省政府采购网》《中国政府采购网》《郑州市政府采购网》《中原区政府采购网》《郑州市公共资源交易中心》上发布。招标公告期限为五个工作日。</w:t>
      </w:r>
    </w:p>
    <w:p>
      <w:pPr>
        <w:widowControl/>
        <w:numPr>
          <w:ilvl w:val="0"/>
          <w:numId w:val="2"/>
        </w:numPr>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其他补充事宜：</w:t>
      </w:r>
    </w:p>
    <w:p>
      <w:pPr>
        <w:spacing w:line="360" w:lineRule="auto"/>
        <w:ind w:firstLine="420" w:firstLineChars="200"/>
        <w:rPr>
          <w:rFonts w:ascii="Times New Roman" w:hAnsi="Times New Roman" w:eastAsia="宋体" w:cs="Times New Roman"/>
          <w:sz w:val="24"/>
        </w:rPr>
      </w:pPr>
      <w:r>
        <w:rPr>
          <w:rFonts w:hint="eastAsia" w:ascii="Calibri" w:hAnsi="Calibri" w:eastAsia="宋体" w:cs="Times New Roman"/>
        </w:rPr>
        <w:t xml:space="preserve"> </w:t>
      </w:r>
      <w:r>
        <w:rPr>
          <w:rFonts w:hint="eastAsia" w:ascii="Times New Roman" w:hAnsi="Times New Roman" w:eastAsia="宋体" w:cs="Times New Roman"/>
          <w:sz w:val="24"/>
        </w:rPr>
        <w:t>1.落实以下政府采购政策：</w:t>
      </w:r>
    </w:p>
    <w:p>
      <w:pPr>
        <w:widowControl/>
        <w:adjustRightInd w:val="0"/>
        <w:snapToGrid w:val="0"/>
        <w:spacing w:line="360" w:lineRule="auto"/>
        <w:ind w:firstLine="480" w:firstLineChars="200"/>
        <w:jc w:val="left"/>
        <w:rPr>
          <w:rFonts w:ascii="宋体" w:hAnsi="宋体" w:eastAsia="宋体" w:cs="宋体"/>
          <w:kern w:val="0"/>
          <w:sz w:val="24"/>
          <w:szCs w:val="24"/>
        </w:rPr>
      </w:pPr>
      <w:bookmarkStart w:id="4" w:name="_Hlk133151627"/>
      <w:r>
        <w:rPr>
          <w:rFonts w:hint="eastAsia" w:ascii="宋体" w:hAnsi="宋体" w:eastAsia="宋体" w:cs="宋体"/>
          <w:kern w:val="0"/>
          <w:sz w:val="24"/>
          <w:szCs w:val="24"/>
        </w:rPr>
        <w:t>《财政部 司法部关于政府采购支持监狱企业发展有关问题的通知》 （财库〔2014〕68号）；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《三部门联合发布关于促进残疾人就业政府采购政策的通知》 （财库〔2017〕141号）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《政府采购促进中小企业发展管理办法》（财库〔2020〕46号）；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《关于进一步加大政府采购支持中小企业力度的通知》财库〔2022〕19号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《财政部 发展改革委 生态环境部 市场监管总局关于调整优化节能产品、环境标志产品政府采购执行机制的通知》（财库〔2019〕9号）；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《关于印发环境标志产品政府采购品目清单的通知》（财库〔2019〕18号）；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《关于印发节能产品政府采购品目清单的通知》（财库〔2019〕19号）等。</w:t>
      </w:r>
      <w:bookmarkEnd w:id="4"/>
      <w:r>
        <w:rPr>
          <w:rFonts w:ascii="宋体" w:hAnsi="宋体" w:eastAsia="宋体" w:cs="宋体"/>
          <w:kern w:val="0"/>
          <w:sz w:val="24"/>
          <w:szCs w:val="24"/>
        </w:rPr>
        <w:t xml:space="preserve"> </w:t>
      </w:r>
    </w:p>
    <w:p>
      <w:pPr>
        <w:spacing w:line="360" w:lineRule="auto"/>
        <w:ind w:firstLine="480" w:firstLineChars="200"/>
        <w:rPr>
          <w:rFonts w:ascii="宋体" w:hAnsi="宋体" w:eastAsia="宋体" w:cs="宋体"/>
          <w:kern w:val="0"/>
          <w:sz w:val="24"/>
          <w:lang w:val="zh-CN"/>
        </w:rPr>
      </w:pPr>
      <w:r>
        <w:rPr>
          <w:rFonts w:hint="eastAsia" w:ascii="Times New Roman" w:hAnsi="Times New Roman" w:eastAsia="宋体" w:cs="Times New Roman"/>
          <w:sz w:val="24"/>
        </w:rPr>
        <w:t>2.本项目采用“远程不见面”开标方式，远程开标大厅网址为 https://zzggzy.zhengzhou.gov.cn/BidOpening/，供应商无需到郑州市公共资源交易中心现场参加开标会议，无需到达现场提交原件资料。投标人应当在开标当天投标</w:t>
      </w:r>
      <w:r>
        <w:rPr>
          <w:rFonts w:hint="eastAsia" w:ascii="Times New Roman" w:hAnsi="Times New Roman" w:eastAsia="宋体" w:cs="宋体"/>
          <w:kern w:val="0"/>
          <w:sz w:val="24"/>
          <w:szCs w:val="24"/>
          <w:lang w:val="zh-CN"/>
        </w:rPr>
        <w:t>文件提交</w:t>
      </w:r>
      <w:r>
        <w:rPr>
          <w:rFonts w:hint="eastAsia" w:ascii="Times New Roman" w:hAnsi="Times New Roman" w:eastAsia="宋体" w:cs="Times New Roman"/>
          <w:sz w:val="24"/>
        </w:rPr>
        <w:t>截止时间前，登录远程开标大厅，在线准时参加开标活动并进行文件解密等。各投标人应在规定时间内对本单位的投标文件解密，因加密电子投标文件未能成功上传或误传而导致的解密失败，投标将被拒绝。（详细流程见</w:t>
      </w:r>
      <w:r>
        <w:rPr>
          <w:rFonts w:hint="eastAsia" w:ascii="宋体" w:hAnsi="宋体" w:eastAsia="宋体" w:cs="宋体"/>
          <w:kern w:val="0"/>
          <w:sz w:val="24"/>
          <w:lang w:val="zh-CN"/>
        </w:rPr>
        <w:t>郑州市公共资源交易中心网站-办事指南-政府采购-郑州市公共资源交易中心不见面开标大厅操作手册（供应商</w:t>
      </w:r>
      <w:r>
        <w:rPr>
          <w:rFonts w:ascii="宋体" w:hAnsi="宋体" w:eastAsia="宋体" w:cs="宋体"/>
          <w:kern w:val="0"/>
          <w:sz w:val="24"/>
          <w:lang w:val="zh-CN"/>
        </w:rPr>
        <w:t>）</w:t>
      </w:r>
      <w:r>
        <w:rPr>
          <w:rFonts w:hint="eastAsia" w:ascii="宋体" w:hAnsi="宋体" w:eastAsia="宋体" w:cs="宋体"/>
          <w:kern w:val="0"/>
          <w:sz w:val="24"/>
          <w:lang w:val="zh-CN"/>
        </w:rPr>
        <w:t>。</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3.</w:t>
      </w:r>
      <w:r>
        <w:rPr>
          <w:rFonts w:hint="eastAsia" w:ascii="Times New Roman" w:hAnsi="Times New Roman" w:eastAsia="宋体" w:cs="Times New Roman"/>
          <w:sz w:val="24"/>
        </w:rPr>
        <w:tab/>
      </w:r>
      <w:r>
        <w:rPr>
          <w:rFonts w:hint="eastAsia" w:ascii="Times New Roman" w:hAnsi="Times New Roman" w:eastAsia="宋体" w:cs="Times New Roman"/>
          <w:sz w:val="24"/>
        </w:rPr>
        <w:t>根据国家发展改革委关于进一步放开建设项目专业服务价格的通知发改价格[2015] 299号文件的规定,本次招标代理服务费按预算价的1.5%（不足壹万按壹万收取）由中标人向采购代理机构交纳。</w:t>
      </w:r>
    </w:p>
    <w:p>
      <w:pPr>
        <w:widowControl/>
        <w:adjustRightInd w:val="0"/>
        <w:snapToGrid w:val="0"/>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八、凡对本次招标提出询问，请按照以下方式联系</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1.采购人信息</w:t>
      </w:r>
    </w:p>
    <w:p>
      <w:pPr>
        <w:widowControl/>
        <w:adjustRightInd w:val="0"/>
        <w:snapToGrid w:val="0"/>
        <w:spacing w:line="360" w:lineRule="auto"/>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rPr>
        <w:t>名称：郑州市第六十五中学</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地址：郑州市中原区金枝路南先锋路西</w:t>
      </w:r>
    </w:p>
    <w:p>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联系人：吴昊</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 xml:space="preserve">联系方式：0371-60618986 </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2.采购代理机构信息</w:t>
      </w:r>
    </w:p>
    <w:p>
      <w:pPr>
        <w:widowControl/>
        <w:adjustRightInd w:val="0"/>
        <w:snapToGri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szCs w:val="24"/>
        </w:rPr>
        <w:t>名称：</w:t>
      </w:r>
      <w:r>
        <w:rPr>
          <w:rFonts w:hint="eastAsia" w:ascii="宋体" w:hAnsi="宋体" w:eastAsia="宋体" w:cs="宋体"/>
          <w:kern w:val="0"/>
          <w:sz w:val="24"/>
          <w:szCs w:val="24"/>
          <w:lang w:val="zh-CN"/>
        </w:rPr>
        <w:t xml:space="preserve">河南万为项目咨询管理有限公司   </w:t>
      </w:r>
      <w:r>
        <w:rPr>
          <w:rFonts w:hint="eastAsia" w:ascii="宋体" w:hAnsi="宋体" w:eastAsia="宋体" w:cs="宋体"/>
          <w:kern w:val="0"/>
          <w:sz w:val="24"/>
          <w:lang w:val="zh-CN"/>
        </w:rPr>
        <w:t xml:space="preserve">        </w:t>
      </w:r>
    </w:p>
    <w:p>
      <w:pPr>
        <w:widowControl/>
        <w:adjustRightInd w:val="0"/>
        <w:snapToGri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rPr>
        <w:t>地址：</w:t>
      </w:r>
      <w:r>
        <w:rPr>
          <w:rFonts w:hint="eastAsia" w:ascii="宋体" w:hAnsi="宋体" w:eastAsia="宋体" w:cs="宋体"/>
          <w:kern w:val="0"/>
          <w:sz w:val="24"/>
          <w:lang w:val="zh-CN"/>
        </w:rPr>
        <w:t xml:space="preserve">河南省郑州市郑东新区永和龙子湖广场A座813 </w:t>
      </w:r>
    </w:p>
    <w:p>
      <w:pPr>
        <w:spacing w:line="360" w:lineRule="auto"/>
        <w:rPr>
          <w:rFonts w:ascii="宋体" w:hAnsi="宋体" w:eastAsia="宋体" w:cs="宋体"/>
          <w:kern w:val="0"/>
          <w:sz w:val="24"/>
          <w:lang w:val="zh-CN"/>
        </w:rPr>
      </w:pPr>
      <w:r>
        <w:rPr>
          <w:rFonts w:hint="eastAsia" w:ascii="宋体" w:hAnsi="宋体" w:eastAsia="宋体" w:cs="宋体"/>
          <w:kern w:val="0"/>
          <w:sz w:val="24"/>
        </w:rPr>
        <w:t xml:space="preserve">    联系人：张蕊</w:t>
      </w:r>
      <w:r>
        <w:rPr>
          <w:rFonts w:hint="eastAsia" w:ascii="宋体" w:hAnsi="宋体" w:eastAsia="宋体" w:cs="宋体"/>
          <w:kern w:val="0"/>
          <w:sz w:val="24"/>
          <w:lang w:val="zh-CN"/>
        </w:rPr>
        <w:t xml:space="preserve">        </w:t>
      </w:r>
    </w:p>
    <w:p>
      <w:pPr>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联系方式：</w:t>
      </w:r>
      <w:r>
        <w:rPr>
          <w:rFonts w:hint="eastAsia" w:ascii="宋体" w:hAnsi="宋体" w:eastAsia="宋体" w:cs="宋体"/>
          <w:kern w:val="0"/>
          <w:sz w:val="24"/>
        </w:rPr>
        <w:t>15890624891</w:t>
      </w:r>
      <w:r>
        <w:rPr>
          <w:rFonts w:ascii="宋体" w:hAnsi="宋体" w:eastAsia="宋体" w:cs="宋体"/>
          <w:kern w:val="0"/>
          <w:sz w:val="24"/>
          <w:lang w:val="zh-CN"/>
        </w:rPr>
        <w:t xml:space="preserve"> </w:t>
      </w:r>
    </w:p>
    <w:p>
      <w:pPr>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3.项目联系方式</w:t>
      </w:r>
    </w:p>
    <w:p>
      <w:pPr>
        <w:widowControl/>
        <w:adjustRightInd w:val="0"/>
        <w:snapToGrid w:val="0"/>
        <w:spacing w:line="360" w:lineRule="auto"/>
        <w:ind w:firstLine="480" w:firstLineChars="2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项目联系人：</w:t>
      </w:r>
      <w:r>
        <w:rPr>
          <w:rFonts w:hint="eastAsia" w:ascii="宋体" w:hAnsi="宋体" w:eastAsia="宋体" w:cs="宋体"/>
          <w:kern w:val="0"/>
          <w:sz w:val="24"/>
          <w:szCs w:val="24"/>
        </w:rPr>
        <w:t>张蕊</w:t>
      </w:r>
    </w:p>
    <w:p>
      <w:pPr>
        <w:spacing w:line="360" w:lineRule="auto"/>
        <w:ind w:firstLine="480" w:firstLineChars="200"/>
        <w:rPr>
          <w:rFonts w:asciiTheme="minorEastAsia" w:hAnsiTheme="minorEastAsia"/>
          <w:sz w:val="28"/>
        </w:rPr>
      </w:pPr>
      <w:r>
        <w:rPr>
          <w:rFonts w:hint="eastAsia" w:ascii="宋体" w:hAnsi="宋体" w:eastAsia="宋体" w:cs="宋体"/>
          <w:kern w:val="0"/>
          <w:sz w:val="24"/>
          <w:szCs w:val="24"/>
          <w:lang w:val="zh-CN"/>
        </w:rPr>
        <w:t>联系方式：</w:t>
      </w:r>
      <w:r>
        <w:rPr>
          <w:rFonts w:hint="eastAsia" w:ascii="宋体" w:hAnsi="宋体" w:eastAsia="宋体" w:cs="宋体"/>
          <w:kern w:val="0"/>
          <w:sz w:val="24"/>
          <w:szCs w:val="24"/>
        </w:rPr>
        <w:t>15890624891</w:t>
      </w:r>
      <w:r>
        <w:rPr>
          <w:rFonts w:cs="宋体" w:asciiTheme="minorEastAsia" w:hAnsiTheme="minorEastAsia"/>
          <w:kern w:val="0"/>
          <w:sz w:val="24"/>
          <w:lang w:val="zh-CN"/>
        </w:rPr>
        <w:t xml:space="preserve"> </w:t>
      </w:r>
      <w:r>
        <w:rPr>
          <w:rFonts w:hint="eastAsia" w:cs="宋体" w:asciiTheme="minorEastAsia" w:hAnsiTheme="minorEastAsia"/>
          <w:sz w:val="24"/>
        </w:rPr>
        <w:t xml:space="preserve">     </w:t>
      </w:r>
      <w:bookmarkEnd w:id="2"/>
    </w:p>
    <w:p>
      <w:pPr>
        <w:widowControl/>
        <w:jc w:val="left"/>
        <w:rPr>
          <w:rFonts w:asciiTheme="minorEastAsia" w:hAnsiTheme="minorEastAsia" w:cstheme="majorBidi"/>
          <w:b/>
          <w:bCs/>
          <w:kern w:val="28"/>
          <w:sz w:val="28"/>
          <w:szCs w:val="32"/>
        </w:rPr>
      </w:pPr>
      <w:r>
        <w:rPr>
          <w:rFonts w:asciiTheme="minorEastAsia" w:hAnsiTheme="minorEastAsia"/>
          <w:sz w:val="28"/>
        </w:rPr>
        <w:br w:type="page"/>
      </w:r>
    </w:p>
    <w:p>
      <w:pPr>
        <w:pStyle w:val="23"/>
        <w:rPr>
          <w:rFonts w:asciiTheme="minorEastAsia" w:hAnsiTheme="minorEastAsia" w:eastAsiaTheme="minorEastAsia"/>
          <w:sz w:val="28"/>
        </w:rPr>
      </w:pPr>
      <w:bookmarkStart w:id="5" w:name="_Toc143350509"/>
      <w:r>
        <w:rPr>
          <w:rFonts w:hint="eastAsia" w:asciiTheme="minorEastAsia" w:hAnsiTheme="minorEastAsia" w:eastAsiaTheme="minorEastAsia"/>
          <w:sz w:val="28"/>
        </w:rPr>
        <w:t>第二章 投标人须知</w:t>
      </w:r>
      <w:bookmarkEnd w:id="5"/>
    </w:p>
    <w:p>
      <w:pPr>
        <w:pStyle w:val="23"/>
        <w:rPr>
          <w:rFonts w:asciiTheme="minorEastAsia" w:hAnsiTheme="minorEastAsia" w:eastAsiaTheme="minorEastAsia"/>
          <w:sz w:val="24"/>
          <w:szCs w:val="28"/>
        </w:rPr>
      </w:pPr>
      <w:bookmarkStart w:id="6" w:name="_Toc143350510"/>
      <w:r>
        <w:rPr>
          <w:rFonts w:hint="eastAsia" w:asciiTheme="minorEastAsia" w:hAnsiTheme="minorEastAsia" w:eastAsiaTheme="minorEastAsia"/>
          <w:sz w:val="24"/>
          <w:szCs w:val="28"/>
        </w:rPr>
        <w:t>投标人须知前附表</w:t>
      </w:r>
      <w:bookmarkEnd w:id="6"/>
    </w:p>
    <w:tbl>
      <w:tblPr>
        <w:tblStyle w:val="31"/>
        <w:tblW w:w="8316" w:type="dxa"/>
        <w:tblInd w:w="0" w:type="dxa"/>
        <w:tblLayout w:type="fixed"/>
        <w:tblCellMar>
          <w:top w:w="0" w:type="dxa"/>
          <w:left w:w="108" w:type="dxa"/>
          <w:bottom w:w="0" w:type="dxa"/>
          <w:right w:w="108" w:type="dxa"/>
        </w:tblCellMar>
      </w:tblPr>
      <w:tblGrid>
        <w:gridCol w:w="1038"/>
        <w:gridCol w:w="2368"/>
        <w:gridCol w:w="4910"/>
      </w:tblGrid>
      <w:tr>
        <w:trPr>
          <w:trHeight w:val="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条款名称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编列内容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采购人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名称：郑州市第六十五中学</w:t>
            </w:r>
          </w:p>
          <w:p>
            <w:pPr>
              <w:spacing w:line="400" w:lineRule="exact"/>
              <w:rPr>
                <w:rFonts w:asciiTheme="minorEastAsia" w:hAnsiTheme="minorEastAsia"/>
                <w:kern w:val="0"/>
                <w:szCs w:val="21"/>
              </w:rPr>
            </w:pPr>
            <w:r>
              <w:rPr>
                <w:rFonts w:hint="eastAsia" w:asciiTheme="minorEastAsia" w:hAnsiTheme="minorEastAsia"/>
                <w:kern w:val="0"/>
                <w:szCs w:val="21"/>
              </w:rPr>
              <w:t>地址：郑州市中原区金枝路南先锋路西</w:t>
            </w:r>
          </w:p>
          <w:p>
            <w:pPr>
              <w:spacing w:line="400" w:lineRule="exact"/>
              <w:rPr>
                <w:rFonts w:hint="eastAsia" w:asciiTheme="minorEastAsia" w:hAnsiTheme="minorEastAsia"/>
                <w:kern w:val="0"/>
                <w:szCs w:val="21"/>
              </w:rPr>
            </w:pPr>
            <w:r>
              <w:rPr>
                <w:rFonts w:hint="eastAsia" w:asciiTheme="minorEastAsia" w:hAnsiTheme="minorEastAsia"/>
                <w:kern w:val="0"/>
                <w:szCs w:val="21"/>
              </w:rPr>
              <w:t>联系人：吴昊</w:t>
            </w:r>
          </w:p>
          <w:p>
            <w:pPr>
              <w:spacing w:line="400" w:lineRule="exact"/>
              <w:rPr>
                <w:rFonts w:asciiTheme="minorEastAsia" w:hAnsiTheme="minorEastAsia"/>
                <w:kern w:val="0"/>
                <w:szCs w:val="21"/>
              </w:rPr>
            </w:pPr>
            <w:r>
              <w:rPr>
                <w:rFonts w:hint="eastAsia" w:asciiTheme="minorEastAsia" w:hAnsiTheme="minorEastAsia"/>
                <w:kern w:val="0"/>
                <w:szCs w:val="21"/>
              </w:rPr>
              <w:t>联系方式：0371-60618986</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采购代理机构</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名称：</w:t>
            </w:r>
            <w:r>
              <w:rPr>
                <w:rFonts w:hint="eastAsia" w:asciiTheme="minorEastAsia" w:hAnsiTheme="minorEastAsia"/>
                <w:kern w:val="0"/>
                <w:szCs w:val="21"/>
              </w:rPr>
              <w:t>河南万为项目咨询管理有限公司</w:t>
            </w:r>
          </w:p>
          <w:p>
            <w:pPr>
              <w:spacing w:line="400" w:lineRule="exact"/>
              <w:rPr>
                <w:rFonts w:asciiTheme="minorEastAsia" w:hAnsiTheme="minorEastAsia"/>
                <w:kern w:val="0"/>
                <w:szCs w:val="21"/>
              </w:rPr>
            </w:pPr>
            <w:r>
              <w:rPr>
                <w:rFonts w:asciiTheme="minorEastAsia" w:hAnsiTheme="minorEastAsia"/>
                <w:kern w:val="0"/>
                <w:szCs w:val="21"/>
              </w:rPr>
              <w:t>地址：</w:t>
            </w:r>
            <w:r>
              <w:rPr>
                <w:rFonts w:hint="eastAsia" w:asciiTheme="minorEastAsia" w:hAnsiTheme="minorEastAsia"/>
                <w:kern w:val="0"/>
                <w:szCs w:val="21"/>
              </w:rPr>
              <w:t>河南省郑州市郑东新区平安大道197号永和龙子湖广场A座813</w:t>
            </w:r>
          </w:p>
          <w:p>
            <w:pPr>
              <w:spacing w:line="400" w:lineRule="exact"/>
              <w:rPr>
                <w:rFonts w:hint="eastAsia" w:asciiTheme="minorEastAsia" w:hAnsiTheme="minorEastAsia"/>
                <w:kern w:val="0"/>
                <w:szCs w:val="21"/>
              </w:rPr>
            </w:pPr>
            <w:r>
              <w:rPr>
                <w:rFonts w:hint="eastAsia" w:asciiTheme="minorEastAsia" w:hAnsiTheme="minorEastAsia"/>
                <w:kern w:val="0"/>
                <w:szCs w:val="21"/>
              </w:rPr>
              <w:t xml:space="preserve">联系人：张蕊        </w:t>
            </w:r>
          </w:p>
          <w:p>
            <w:pPr>
              <w:spacing w:line="400" w:lineRule="exact"/>
              <w:rPr>
                <w:rFonts w:asciiTheme="minorEastAsia" w:hAnsiTheme="minorEastAsia"/>
                <w:kern w:val="0"/>
                <w:szCs w:val="21"/>
              </w:rPr>
            </w:pPr>
            <w:r>
              <w:rPr>
                <w:rFonts w:hint="eastAsia" w:asciiTheme="minorEastAsia" w:hAnsiTheme="minorEastAsia"/>
                <w:kern w:val="0"/>
                <w:szCs w:val="21"/>
              </w:rPr>
              <w:t>联系方式：15890624891</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项目名称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郑州市第六十五中学实验室、录播室、学科教室、班级灯光设施设备采购项目</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预算金额</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2052017.71</w:t>
            </w:r>
            <w:r>
              <w:rPr>
                <w:rFonts w:hint="eastAsia" w:cs="宋体" w:asciiTheme="minorEastAsia" w:hAnsiTheme="minorEastAsia"/>
                <w:kern w:val="0"/>
                <w:szCs w:val="21"/>
              </w:rPr>
              <w:t>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资金</w:t>
            </w:r>
            <w:r>
              <w:rPr>
                <w:rFonts w:hint="eastAsia" w:asciiTheme="minorEastAsia" w:hAnsiTheme="minorEastAsia"/>
                <w:kern w:val="0"/>
                <w:szCs w:val="21"/>
              </w:rPr>
              <w:t>来源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财政资金</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采购需求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详见招标文件第六章“采购需求”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交货期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签订合同之日起30日历天内</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1</w:t>
            </w:r>
            <w:r>
              <w:rPr>
                <w:rFonts w:asciiTheme="minorEastAsia" w:hAnsiTheme="minorEastAsia"/>
                <w:kern w:val="0"/>
                <w:szCs w:val="21"/>
              </w:rPr>
              <w:t>.3.3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质保期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szCs w:val="21"/>
              </w:rPr>
              <w:t>三年</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1.3.4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质量要求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szCs w:val="21"/>
              </w:rPr>
            </w:pPr>
            <w:r>
              <w:rPr>
                <w:szCs w:val="21"/>
              </w:rPr>
              <w:t>符合国家相关规范和标准</w:t>
            </w:r>
            <w:r>
              <w:rPr>
                <w:rFonts w:hint="eastAsia"/>
                <w:szCs w:val="21"/>
              </w:rPr>
              <w:t>并</w:t>
            </w:r>
            <w:r>
              <w:rPr>
                <w:szCs w:val="21"/>
              </w:rPr>
              <w:t>满足用户要求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投标人资格要求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1.满足《中华人民共和国政府采购法》第二十二条规定；</w:t>
            </w:r>
          </w:p>
          <w:p>
            <w:pPr>
              <w:spacing w:line="400" w:lineRule="exact"/>
              <w:rPr>
                <w:rFonts w:asciiTheme="minorEastAsia" w:hAnsiTheme="minorEastAsia"/>
                <w:kern w:val="0"/>
                <w:szCs w:val="21"/>
              </w:rPr>
            </w:pPr>
            <w:r>
              <w:rPr>
                <w:rFonts w:hint="eastAsia" w:asciiTheme="minorEastAsia" w:hAnsiTheme="minorEastAsia"/>
                <w:kern w:val="0"/>
                <w:szCs w:val="21"/>
              </w:rPr>
              <w:t>2.落实政府采购政策需满足的资格要求：无。</w:t>
            </w:r>
          </w:p>
          <w:p>
            <w:pPr>
              <w:spacing w:line="400" w:lineRule="exact"/>
              <w:rPr>
                <w:rFonts w:asciiTheme="minorEastAsia" w:hAnsiTheme="minorEastAsia"/>
                <w:kern w:val="0"/>
                <w:szCs w:val="21"/>
              </w:rPr>
            </w:pPr>
            <w:r>
              <w:rPr>
                <w:rFonts w:hint="eastAsia" w:asciiTheme="minorEastAsia" w:hAnsiTheme="minorEastAsia"/>
                <w:kern w:val="0"/>
                <w:szCs w:val="21"/>
              </w:rPr>
              <w:t>3.本项目的特定资格要求：</w:t>
            </w:r>
          </w:p>
          <w:p>
            <w:pPr>
              <w:spacing w:line="400" w:lineRule="exact"/>
              <w:rPr>
                <w:rFonts w:asciiTheme="minorEastAsia" w:hAnsiTheme="minorEastAsia"/>
                <w:kern w:val="0"/>
                <w:szCs w:val="21"/>
              </w:rPr>
            </w:pPr>
            <w:r>
              <w:rPr>
                <w:rFonts w:hint="eastAsia" w:asciiTheme="minorEastAsia" w:hAnsiTheme="minorEastAsia"/>
                <w:kern w:val="0"/>
                <w:szCs w:val="21"/>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网站(zxgk.court.gov.cn/shixin/）或“信用中国”网站：查询失信被执行人；“信用中国”网站：查询重大税收违法失信主体；中国政府采购网（www.ccgp.gov.cn）：政府采购严重违法失信行为记录名单）。注：采购代理机构在开标后将对所有参与本项目投标的供应商的信用情况（失信被执行人、重大税收违法失信主体、政府采购严重违法失信行为记录名单）进行查询、打印留存。（若在开标当天查询到供应商有相关负面信息的，则该供应商为无效供应商，信用信息查询记录及相关证据与磋商文件一并保存。查询时间：本项目开标结束后至评标结束之前）；</w:t>
            </w:r>
          </w:p>
          <w:p>
            <w:pPr>
              <w:spacing w:line="400" w:lineRule="exact"/>
              <w:rPr>
                <w:rFonts w:asciiTheme="minorEastAsia" w:hAnsiTheme="minorEastAsia"/>
                <w:kern w:val="0"/>
                <w:szCs w:val="21"/>
              </w:rPr>
            </w:pPr>
            <w:r>
              <w:rPr>
                <w:rFonts w:hint="eastAsia" w:asciiTheme="minorEastAsia" w:hAnsiTheme="minorEastAsia"/>
                <w:kern w:val="0"/>
                <w:szCs w:val="21"/>
              </w:rPr>
              <w:t>3.2单位负责人为同一人或者存在直接控股、管理关系的不同供应商，不得参加同一合同项下的政府采购活动。</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是否接受联合体投标</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不接受</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现场踏勘</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不组织</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分包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实质性要求和条件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本前附表1.3.2、1.3.3、1.3.4、1.4.1款要求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构成招标文件的其他资料</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szCs w:val="21"/>
              </w:rPr>
              <w:t>对招标文件所做的澄清、修改等</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要求澄清招标文件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时间：</w:t>
            </w:r>
            <w:r>
              <w:rPr>
                <w:rFonts w:hint="eastAsia" w:asciiTheme="minorEastAsia" w:hAnsiTheme="minorEastAsia"/>
                <w:kern w:val="0"/>
                <w:szCs w:val="21"/>
              </w:rPr>
              <w:t>收到招标文件之日或者招标文件公告期限届满之日起七个工作日内</w:t>
            </w:r>
          </w:p>
          <w:p>
            <w:pPr>
              <w:spacing w:line="400" w:lineRule="exact"/>
              <w:rPr>
                <w:rFonts w:asciiTheme="minorEastAsia" w:hAnsiTheme="minorEastAsia"/>
                <w:kern w:val="0"/>
                <w:szCs w:val="21"/>
              </w:rPr>
            </w:pPr>
            <w:r>
              <w:rPr>
                <w:rFonts w:asciiTheme="minorEastAsia" w:hAnsiTheme="minorEastAsia"/>
                <w:kern w:val="0"/>
                <w:szCs w:val="21"/>
              </w:rPr>
              <w:t>形式：</w:t>
            </w:r>
            <w:r>
              <w:rPr>
                <w:rFonts w:hint="eastAsia" w:asciiTheme="minorEastAsia" w:hAnsiTheme="minorEastAsia"/>
                <w:kern w:val="0"/>
                <w:szCs w:val="21"/>
              </w:rPr>
              <w:t>郑州市公共资源交易平台提出并加盖公章扫描发至电子邮箱（282371418@qq.com）</w:t>
            </w:r>
          </w:p>
        </w:tc>
      </w:tr>
      <w:tr>
        <w:tblPrEx>
          <w:tblCellMar>
            <w:top w:w="0" w:type="dxa"/>
            <w:left w:w="108" w:type="dxa"/>
            <w:bottom w:w="0" w:type="dxa"/>
            <w:right w:w="108" w:type="dxa"/>
          </w:tblCellMar>
        </w:tblPrEx>
        <w:trPr>
          <w:trHeight w:val="703"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招标文件澄清发出的形式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郑州市公共资源交易中心网站</w:t>
            </w:r>
          </w:p>
          <w:p>
            <w:pPr>
              <w:spacing w:line="400" w:lineRule="exact"/>
              <w:rPr>
                <w:rFonts w:asciiTheme="minorEastAsia" w:hAnsiTheme="minorEastAsia"/>
                <w:kern w:val="0"/>
                <w:szCs w:val="21"/>
              </w:rPr>
            </w:pPr>
            <w:r>
              <w:rPr>
                <w:rFonts w:hint="eastAsia" w:asciiTheme="minorEastAsia" w:hAnsiTheme="minorEastAsia"/>
                <w:kern w:val="0"/>
                <w:szCs w:val="21"/>
              </w:rPr>
              <w:t>河南省政府采购网</w:t>
            </w:r>
          </w:p>
          <w:p>
            <w:pPr>
              <w:spacing w:line="400" w:lineRule="exact"/>
              <w:rPr>
                <w:rFonts w:asciiTheme="minorEastAsia" w:hAnsiTheme="minorEastAsia"/>
                <w:kern w:val="0"/>
                <w:szCs w:val="21"/>
              </w:rPr>
            </w:pPr>
            <w:r>
              <w:rPr>
                <w:rFonts w:hint="eastAsia" w:asciiTheme="minorEastAsia" w:hAnsiTheme="minorEastAsia"/>
                <w:kern w:val="0"/>
                <w:szCs w:val="21"/>
              </w:rPr>
              <w:t>中原区政府采购网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确认收到招标文件澄清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所有澄清均通过郑州市公共资源交易中心平台、河南省政府采购网和中原区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123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招标文件修改发出的形式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郑州市公共资源交易中心网站</w:t>
            </w:r>
          </w:p>
          <w:p>
            <w:pPr>
              <w:spacing w:line="400" w:lineRule="exact"/>
              <w:rPr>
                <w:rFonts w:asciiTheme="minorEastAsia" w:hAnsiTheme="minorEastAsia"/>
                <w:kern w:val="0"/>
                <w:szCs w:val="21"/>
              </w:rPr>
            </w:pPr>
            <w:r>
              <w:rPr>
                <w:rFonts w:hint="eastAsia" w:asciiTheme="minorEastAsia" w:hAnsiTheme="minorEastAsia"/>
                <w:kern w:val="0"/>
                <w:szCs w:val="21"/>
              </w:rPr>
              <w:t>河南省政府采购网</w:t>
            </w:r>
          </w:p>
          <w:p>
            <w:pPr>
              <w:spacing w:line="400" w:lineRule="exact"/>
              <w:rPr>
                <w:rFonts w:asciiTheme="minorEastAsia" w:hAnsiTheme="minorEastAsia"/>
                <w:kern w:val="0"/>
                <w:szCs w:val="21"/>
              </w:rPr>
            </w:pPr>
            <w:r>
              <w:rPr>
                <w:rFonts w:hint="eastAsia" w:asciiTheme="minorEastAsia" w:hAnsiTheme="minorEastAsia"/>
                <w:kern w:val="0"/>
                <w:szCs w:val="21"/>
              </w:rPr>
              <w:t>中原区政府采购网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确认收到招标文件修改</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所有修改均通过郑州市公共资源交易中心平台、河南省政府采购网和中原区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55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最高投标限价</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cs="宋体" w:asciiTheme="minorEastAsia" w:hAnsiTheme="minorEastAsia"/>
                <w:kern w:val="0"/>
                <w:szCs w:val="21"/>
                <w:lang w:val="zh-CN"/>
              </w:rPr>
              <w:t>1313787.71</w:t>
            </w:r>
            <w:r>
              <w:rPr>
                <w:rFonts w:hint="eastAsia" w:cs="宋体" w:asciiTheme="minorEastAsia" w:hAnsiTheme="minorEastAsia"/>
                <w:kern w:val="0"/>
                <w:szCs w:val="21"/>
                <w:lang w:val="zh-CN"/>
              </w:rPr>
              <w:t>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投标报价的其他要求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投标有效期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自投标截止之日起60日历天</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投标保证金</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本项目不收取投标保证金，需提供投标承诺函及招标代理服务费承诺函，具体格式详见第五章投标文件格式，未按招标文件规定提交投标承诺函及招标代理服务费承诺函的均视为无效投标。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82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资格审查资料的特殊要求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无</w:t>
            </w:r>
          </w:p>
        </w:tc>
      </w:tr>
      <w:tr>
        <w:tblPrEx>
          <w:tblCellMar>
            <w:top w:w="0" w:type="dxa"/>
            <w:left w:w="108" w:type="dxa"/>
            <w:bottom w:w="0" w:type="dxa"/>
            <w:right w:w="108" w:type="dxa"/>
          </w:tblCellMar>
        </w:tblPrEx>
        <w:trPr>
          <w:trHeight w:val="8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是否允许递交备选投标方案</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rPr>
          <w:trHeight w:val="97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3.7.3（</w:t>
            </w:r>
            <w:r>
              <w:rPr>
                <w:rFonts w:hint="eastAsia" w:asciiTheme="minorEastAsia" w:hAnsiTheme="minorEastAsia"/>
                <w:kern w:val="0"/>
                <w:szCs w:val="21"/>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投标文件所附证书证件要求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复印件或扫描件</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3.7.3（</w:t>
            </w:r>
            <w:r>
              <w:rPr>
                <w:rFonts w:hint="eastAsia" w:asciiTheme="minorEastAsia" w:hAnsiTheme="minorEastAsia"/>
                <w:kern w:val="0"/>
                <w:szCs w:val="21"/>
              </w:rPr>
              <w:t>2</w:t>
            </w:r>
            <w:r>
              <w:rPr>
                <w:rFonts w:asciiTheme="minorEastAsia" w:hAnsiTheme="minorEastAsia"/>
                <w:kern w:val="0"/>
                <w:szCs w:val="21"/>
              </w:rPr>
              <w:t>）</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投标文件签字或盖章要求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hAnsi="宋体"/>
                <w:szCs w:val="21"/>
              </w:rPr>
              <w:t>投标人在制作投标文件时，应将招标文件格式中明确签字盖章的内容电子签章或加盖公章（包括企业电子签章或公章、个人电子签章或签字）。</w:t>
            </w:r>
          </w:p>
        </w:tc>
      </w:tr>
      <w:tr>
        <w:tblPrEx>
          <w:tblCellMar>
            <w:top w:w="0" w:type="dxa"/>
            <w:left w:w="108" w:type="dxa"/>
            <w:bottom w:w="0" w:type="dxa"/>
            <w:right w:w="108" w:type="dxa"/>
          </w:tblCellMar>
        </w:tblPrEx>
        <w:trPr>
          <w:trHeight w:val="165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4.1.1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投标文件加密要求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加密的电子投标文件为“郑州市公共资源交易中心网站” 网站提供的“投标文件制作工具”软件制作生成的加密版投标文件。</w:t>
            </w:r>
          </w:p>
        </w:tc>
      </w:tr>
      <w:tr>
        <w:tblPrEx>
          <w:tblCellMar>
            <w:top w:w="0" w:type="dxa"/>
            <w:left w:w="108" w:type="dxa"/>
            <w:bottom w:w="0" w:type="dxa"/>
            <w:right w:w="108" w:type="dxa"/>
          </w:tblCellMar>
        </w:tblPrEx>
        <w:trPr>
          <w:trHeight w:val="468"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投标截止时间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440" w:lineRule="exact"/>
              <w:rPr>
                <w:rFonts w:ascii="宋体" w:hAnsi="宋体" w:eastAsia="宋体" w:cs="宋体"/>
                <w:kern w:val="0"/>
                <w:sz w:val="24"/>
                <w:szCs w:val="24"/>
              </w:rPr>
            </w:pPr>
            <w:r>
              <w:rPr>
                <w:rFonts w:hint="eastAsia" w:asciiTheme="minorEastAsia" w:hAnsiTheme="minorEastAsia"/>
                <w:kern w:val="0"/>
                <w:szCs w:val="21"/>
              </w:rPr>
              <w:t>2023年9月20日10时00分（北京时间）</w:t>
            </w:r>
          </w:p>
          <w:p>
            <w:pPr>
              <w:spacing w:line="400" w:lineRule="exact"/>
              <w:rPr>
                <w:rFonts w:asciiTheme="minorEastAsia" w:hAnsiTheme="minorEastAsia"/>
                <w:kern w:val="0"/>
                <w:szCs w:val="21"/>
              </w:rPr>
            </w:pPr>
          </w:p>
        </w:tc>
      </w:tr>
      <w:tr>
        <w:tblPrEx>
          <w:tblCellMar>
            <w:top w:w="0" w:type="dxa"/>
            <w:left w:w="108" w:type="dxa"/>
            <w:bottom w:w="0" w:type="dxa"/>
            <w:right w:w="108" w:type="dxa"/>
          </w:tblCellMar>
        </w:tblPrEx>
        <w:trPr>
          <w:trHeight w:val="52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开标时间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同投标截止时间</w:t>
            </w:r>
          </w:p>
        </w:tc>
      </w:tr>
      <w:tr>
        <w:tblPrEx>
          <w:tblCellMar>
            <w:top w:w="0" w:type="dxa"/>
            <w:left w:w="108" w:type="dxa"/>
            <w:bottom w:w="0" w:type="dxa"/>
            <w:right w:w="108" w:type="dxa"/>
          </w:tblCellMar>
        </w:tblPrEx>
        <w:trPr>
          <w:trHeight w:val="170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评标委员会的组建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评标委员会构成：</w:t>
            </w:r>
            <w:r>
              <w:rPr>
                <w:rFonts w:hint="eastAsia" w:asciiTheme="minorEastAsia" w:hAnsiTheme="minorEastAsia"/>
                <w:kern w:val="0"/>
                <w:szCs w:val="21"/>
              </w:rPr>
              <w:t>5</w:t>
            </w:r>
            <w:r>
              <w:rPr>
                <w:rFonts w:asciiTheme="minorEastAsia" w:hAnsiTheme="minorEastAsia"/>
                <w:kern w:val="0"/>
                <w:szCs w:val="21"/>
              </w:rPr>
              <w:t>人</w:t>
            </w:r>
            <w:r>
              <w:rPr>
                <w:rFonts w:hint="eastAsia" w:asciiTheme="minorEastAsia" w:hAnsiTheme="minorEastAsia"/>
                <w:kern w:val="0"/>
                <w:szCs w:val="21"/>
              </w:rPr>
              <w:t>，</w:t>
            </w:r>
            <w:r>
              <w:rPr>
                <w:rFonts w:asciiTheme="minorEastAsia" w:hAnsiTheme="minorEastAsia"/>
                <w:kern w:val="0"/>
                <w:szCs w:val="21"/>
              </w:rPr>
              <w:t>其中</w:t>
            </w:r>
            <w:r>
              <w:rPr>
                <w:rFonts w:hint="eastAsia" w:asciiTheme="minorEastAsia" w:hAnsiTheme="minorEastAsia"/>
                <w:kern w:val="0"/>
                <w:szCs w:val="21"/>
              </w:rPr>
              <w:t>采购人</w:t>
            </w:r>
            <w:r>
              <w:rPr>
                <w:rFonts w:asciiTheme="minorEastAsia" w:hAnsiTheme="minorEastAsia"/>
                <w:kern w:val="0"/>
                <w:szCs w:val="21"/>
              </w:rPr>
              <w:t>代表</w:t>
            </w:r>
            <w:r>
              <w:rPr>
                <w:rFonts w:hint="eastAsia" w:asciiTheme="minorEastAsia" w:hAnsiTheme="minorEastAsia"/>
                <w:kern w:val="0"/>
                <w:szCs w:val="21"/>
              </w:rPr>
              <w:t>1</w:t>
            </w:r>
            <w:r>
              <w:rPr>
                <w:rFonts w:asciiTheme="minorEastAsia" w:hAnsiTheme="minorEastAsia"/>
                <w:kern w:val="0"/>
                <w:szCs w:val="21"/>
              </w:rPr>
              <w:t>人，</w:t>
            </w:r>
            <w:r>
              <w:rPr>
                <w:rFonts w:hint="eastAsia" w:asciiTheme="minorEastAsia" w:hAnsiTheme="minorEastAsia"/>
                <w:kern w:val="0"/>
                <w:szCs w:val="21"/>
              </w:rPr>
              <w:t>相关经济、技术</w:t>
            </w:r>
            <w:r>
              <w:rPr>
                <w:rFonts w:asciiTheme="minorEastAsia" w:hAnsiTheme="minorEastAsia"/>
                <w:kern w:val="0"/>
                <w:szCs w:val="21"/>
              </w:rPr>
              <w:t>专家</w:t>
            </w:r>
            <w:r>
              <w:rPr>
                <w:rFonts w:hint="eastAsia" w:asciiTheme="minorEastAsia" w:hAnsiTheme="minorEastAsia"/>
                <w:kern w:val="0"/>
                <w:szCs w:val="21"/>
              </w:rPr>
              <w:t>4</w:t>
            </w:r>
            <w:r>
              <w:rPr>
                <w:rFonts w:asciiTheme="minorEastAsia" w:hAnsiTheme="minorEastAsia"/>
                <w:kern w:val="0"/>
                <w:szCs w:val="21"/>
              </w:rPr>
              <w:t xml:space="preserve">人； </w:t>
            </w:r>
          </w:p>
          <w:p>
            <w:pPr>
              <w:spacing w:line="400" w:lineRule="exact"/>
              <w:rPr>
                <w:rFonts w:asciiTheme="minorEastAsia" w:hAnsiTheme="minorEastAsia"/>
                <w:kern w:val="0"/>
                <w:szCs w:val="21"/>
              </w:rPr>
            </w:pPr>
            <w:r>
              <w:rPr>
                <w:rFonts w:hint="eastAsia" w:asciiTheme="minorEastAsia" w:hAnsiTheme="minorEastAsia"/>
                <w:kern w:val="0"/>
                <w:szCs w:val="21"/>
              </w:rPr>
              <w:t>评审</w:t>
            </w:r>
            <w:r>
              <w:rPr>
                <w:rFonts w:asciiTheme="minorEastAsia" w:hAnsiTheme="minorEastAsia"/>
                <w:kern w:val="0"/>
                <w:szCs w:val="21"/>
              </w:rPr>
              <w:t>专家确定方式：</w:t>
            </w:r>
            <w:r>
              <w:rPr>
                <w:rFonts w:hint="eastAsia" w:asciiTheme="minorEastAsia" w:hAnsiTheme="minorEastAsia"/>
                <w:kern w:val="0"/>
                <w:szCs w:val="21"/>
              </w:rPr>
              <w:t>财政部门指定专家库中随机抽取</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6.3.</w:t>
            </w:r>
            <w:r>
              <w:rPr>
                <w:rFonts w:hint="eastAsia" w:asciiTheme="minorEastAsia" w:hAnsiTheme="minorEastAsia"/>
                <w:kern w:val="0"/>
                <w:szCs w:val="21"/>
              </w:rPr>
              <w:t>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核心产品</w:t>
            </w:r>
          </w:p>
        </w:tc>
        <w:tc>
          <w:tcPr>
            <w:tcW w:w="4910" w:type="dxa"/>
            <w:tcBorders>
              <w:top w:val="single" w:color="000000" w:sz="4" w:space="0"/>
              <w:left w:val="single" w:color="000000" w:sz="4" w:space="0"/>
              <w:bottom w:val="single" w:color="000000" w:sz="4" w:space="0"/>
              <w:right w:val="single" w:color="000000" w:sz="4" w:space="0"/>
            </w:tcBorders>
            <w:vAlign w:val="center"/>
          </w:tcPr>
          <w:p>
            <w:pPr>
              <w:pStyle w:val="9"/>
              <w:rPr>
                <w:rFonts w:eastAsia="宋体" w:asciiTheme="minorEastAsia" w:hAnsiTheme="minorEastAsia"/>
                <w:kern w:val="0"/>
                <w:szCs w:val="21"/>
              </w:rPr>
            </w:pPr>
            <w:r>
              <w:rPr>
                <w:rFonts w:hint="eastAsia" w:eastAsia="宋体" w:asciiTheme="minorEastAsia" w:hAnsiTheme="minorEastAsia"/>
                <w:kern w:val="0"/>
                <w:szCs w:val="21"/>
              </w:rPr>
              <w:t>生物学生实验桌、化学学生实验桌、高清录播主机</w:t>
            </w:r>
          </w:p>
        </w:tc>
      </w:tr>
      <w:tr>
        <w:tblPrEx>
          <w:tblCellMar>
            <w:top w:w="0" w:type="dxa"/>
            <w:left w:w="108" w:type="dxa"/>
            <w:bottom w:w="0" w:type="dxa"/>
            <w:right w:w="108" w:type="dxa"/>
          </w:tblCellMar>
        </w:tblPrEx>
        <w:trPr>
          <w:trHeight w:val="88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 xml:space="preserve">6.3.5 </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评标委员会推荐中标候选人</w:t>
            </w:r>
            <w:r>
              <w:rPr>
                <w:rFonts w:hint="eastAsia" w:asciiTheme="minorEastAsia" w:hAnsiTheme="minorEastAsia"/>
                <w:kern w:val="0"/>
                <w:szCs w:val="21"/>
              </w:rPr>
              <w:t>数量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3家</w:t>
            </w:r>
          </w:p>
        </w:tc>
      </w:tr>
      <w:tr>
        <w:tblPrEx>
          <w:tblCellMar>
            <w:top w:w="0" w:type="dxa"/>
            <w:left w:w="108" w:type="dxa"/>
            <w:bottom w:w="0" w:type="dxa"/>
            <w:right w:w="108" w:type="dxa"/>
          </w:tblCellMar>
        </w:tblPrEx>
        <w:trPr>
          <w:trHeight w:val="1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7.1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中标公告</w:t>
            </w:r>
            <w:r>
              <w:rPr>
                <w:rFonts w:asciiTheme="minorEastAsia" w:hAnsiTheme="minorEastAsia"/>
                <w:kern w:val="0"/>
                <w:szCs w:val="21"/>
              </w:rPr>
              <w:t>媒介及期限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媒介：</w:t>
            </w:r>
            <w:r>
              <w:rPr>
                <w:rFonts w:hint="eastAsia" w:asciiTheme="minorEastAsia" w:hAnsiTheme="minorEastAsia"/>
                <w:kern w:val="0"/>
                <w:szCs w:val="21"/>
              </w:rPr>
              <w:t>《河南省政府采购网》《中原区政府采购网》《郑州市公共资源交易中心网》</w:t>
            </w:r>
          </w:p>
          <w:p>
            <w:pPr>
              <w:spacing w:line="400" w:lineRule="exact"/>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期限：</w:t>
            </w:r>
            <w:r>
              <w:rPr>
                <w:rFonts w:hint="eastAsia" w:asciiTheme="minorEastAsia" w:hAnsiTheme="minorEastAsia"/>
                <w:kern w:val="0"/>
                <w:szCs w:val="21"/>
              </w:rPr>
              <w:t>1个工作</w:t>
            </w:r>
            <w:r>
              <w:rPr>
                <w:rFonts w:asciiTheme="minorEastAsia" w:hAnsiTheme="minorEastAsia"/>
                <w:kern w:val="0"/>
                <w:szCs w:val="21"/>
              </w:rPr>
              <w:t>日</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针对同一采购程序环节的质疑次数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一次性提出</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质疑函接收部门、联系电话和通讯地址</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联系部门：河南万为项目咨询管理有限公司</w:t>
            </w:r>
          </w:p>
          <w:p>
            <w:pPr>
              <w:spacing w:line="400" w:lineRule="exact"/>
              <w:rPr>
                <w:rFonts w:asciiTheme="minorEastAsia" w:hAnsiTheme="minorEastAsia"/>
                <w:kern w:val="0"/>
                <w:szCs w:val="21"/>
              </w:rPr>
            </w:pPr>
            <w:r>
              <w:rPr>
                <w:rFonts w:hint="eastAsia" w:asciiTheme="minorEastAsia" w:hAnsiTheme="minorEastAsia"/>
                <w:kern w:val="0"/>
                <w:szCs w:val="21"/>
              </w:rPr>
              <w:t>联系电话：15890624891</w:t>
            </w:r>
            <w:r>
              <w:rPr>
                <w:rFonts w:hint="eastAsia" w:asciiTheme="minorEastAsia" w:hAnsiTheme="minorEastAsia"/>
                <w:kern w:val="0"/>
                <w:szCs w:val="21"/>
                <w:lang w:val="zh-CN"/>
              </w:rPr>
              <w:t xml:space="preserve"> </w:t>
            </w:r>
          </w:p>
          <w:p>
            <w:pPr>
              <w:spacing w:line="400" w:lineRule="exact"/>
              <w:rPr>
                <w:rFonts w:asciiTheme="minorEastAsia" w:hAnsiTheme="minorEastAsia"/>
                <w:kern w:val="0"/>
                <w:szCs w:val="21"/>
              </w:rPr>
            </w:pPr>
            <w:r>
              <w:rPr>
                <w:rFonts w:hint="eastAsia" w:asciiTheme="minorEastAsia" w:hAnsiTheme="minorEastAsia"/>
                <w:kern w:val="0"/>
                <w:szCs w:val="21"/>
              </w:rPr>
              <w:t>通讯地址：</w:t>
            </w:r>
            <w:r>
              <w:rPr>
                <w:rFonts w:hint="eastAsia" w:asciiTheme="minorEastAsia" w:hAnsiTheme="minorEastAsia"/>
                <w:kern w:val="0"/>
                <w:szCs w:val="21"/>
                <w:lang w:val="zh-CN"/>
              </w:rPr>
              <w:t xml:space="preserve">河南省郑州市郑东新区永和龙子湖广场A座813 </w:t>
            </w:r>
            <w:bookmarkStart w:id="78" w:name="_GoBack"/>
            <w:bookmarkEnd w:id="78"/>
          </w:p>
        </w:tc>
      </w:tr>
      <w:tr>
        <w:tblPrEx>
          <w:tblCellMar>
            <w:top w:w="0" w:type="dxa"/>
            <w:left w:w="108" w:type="dxa"/>
            <w:bottom w:w="0" w:type="dxa"/>
            <w:right w:w="108" w:type="dxa"/>
          </w:tblCellMar>
        </w:tblPrEx>
        <w:trPr>
          <w:trHeight w:val="5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需要补充的其他内容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9.1</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政府采购相关政策信息</w:t>
            </w:r>
          </w:p>
          <w:p>
            <w:pPr>
              <w:spacing w:line="400" w:lineRule="exact"/>
              <w:rPr>
                <w:rFonts w:asciiTheme="minorEastAsia" w:hAnsiTheme="minorEastAsia"/>
                <w:kern w:val="0"/>
                <w:szCs w:val="21"/>
              </w:rPr>
            </w:pPr>
            <w:r>
              <w:rPr>
                <w:rFonts w:hint="eastAsia" w:asciiTheme="minorEastAsia" w:hAnsiTheme="minorEastAsia"/>
                <w:kern w:val="0"/>
                <w:szCs w:val="21"/>
              </w:rPr>
              <w:t>A.为贯彻落实《财政部 工业和信息化部关于印发《政府采购促进中小企业发展管理办法》的通知》（财库〔20</w:t>
            </w:r>
            <w:r>
              <w:rPr>
                <w:rFonts w:asciiTheme="minorEastAsia" w:hAnsiTheme="minorEastAsia"/>
                <w:kern w:val="0"/>
                <w:szCs w:val="21"/>
              </w:rPr>
              <w:t>20</w:t>
            </w:r>
            <w:r>
              <w:rPr>
                <w:rFonts w:hint="eastAsia" w:asciiTheme="minorEastAsia" w:hAnsiTheme="minorEastAsia"/>
                <w:kern w:val="0"/>
                <w:szCs w:val="21"/>
              </w:rPr>
              <w:t>〕</w:t>
            </w:r>
            <w:r>
              <w:rPr>
                <w:rFonts w:asciiTheme="minorEastAsia" w:hAnsiTheme="minorEastAsia"/>
                <w:kern w:val="0"/>
                <w:szCs w:val="21"/>
              </w:rPr>
              <w:t>46</w:t>
            </w:r>
            <w:r>
              <w:rPr>
                <w:rFonts w:hint="eastAsia" w:asciiTheme="minorEastAsia" w:hAnsiTheme="minorEastAsia"/>
                <w:kern w:val="0"/>
                <w:szCs w:val="21"/>
              </w:rPr>
              <w:t>号）</w:t>
            </w:r>
            <w:r>
              <w:rPr>
                <w:rFonts w:hint="eastAsia" w:ascii="Times New Roman" w:hAnsi="Times New Roman" w:eastAsia="宋体"/>
                <w:kern w:val="0"/>
                <w:szCs w:val="21"/>
              </w:rPr>
              <w:t>和《关于进一步加大政府采购支持中小企业力度的通知》（财库〔2022〕19号）</w:t>
            </w:r>
            <w:r>
              <w:rPr>
                <w:rFonts w:hint="eastAsia" w:asciiTheme="minorEastAsia" w:hAnsiTheme="minorEastAsia"/>
                <w:kern w:val="0"/>
                <w:szCs w:val="21"/>
              </w:rPr>
              <w:t>，本项目鼓励中小企业参与，供应商若是中小企业，应提交《中小企业声明函》原件。若不能提供，则视为非中小微型企业，价格不予扣除；（声明函格式详见附件）。</w:t>
            </w:r>
          </w:p>
          <w:p>
            <w:pPr>
              <w:spacing w:line="400" w:lineRule="exact"/>
              <w:rPr>
                <w:rFonts w:asciiTheme="minorEastAsia" w:hAnsiTheme="minorEastAsia"/>
                <w:kern w:val="0"/>
                <w:szCs w:val="21"/>
              </w:rPr>
            </w:pPr>
            <w:r>
              <w:rPr>
                <w:rFonts w:hint="eastAsia" w:asciiTheme="minorEastAsia" w:hAnsiTheme="minorEastAsia"/>
                <w:kern w:val="0"/>
                <w:szCs w:val="21"/>
              </w:rPr>
              <w:t>B.中小企业划型标准以《工业和信息化部 国家统计局 国家发展和改革委财政部关于印发中小企业划型标准规定的通知》（工信部联企业〔2011〕300号）为依据。其中企业的营业收入、资产总额判定依据为最近一年度的财务审计报告，企业从业人员总数判定依据为缴纳统筹人员总数。</w:t>
            </w:r>
          </w:p>
          <w:p>
            <w:pPr>
              <w:spacing w:line="400" w:lineRule="exact"/>
              <w:rPr>
                <w:rFonts w:asciiTheme="minorEastAsia" w:hAnsiTheme="minorEastAsia"/>
                <w:kern w:val="0"/>
                <w:szCs w:val="21"/>
              </w:rPr>
            </w:pPr>
            <w:r>
              <w:rPr>
                <w:rFonts w:hint="eastAsia" w:asciiTheme="minorEastAsia" w:hAnsiTheme="minorEastAsia"/>
                <w:kern w:val="0"/>
                <w:szCs w:val="21"/>
              </w:rPr>
              <w:t>C.根据《财政部 司法部关于政府采购支持监狱企业发展有关问题的通知》（财库〔201</w:t>
            </w:r>
            <w:r>
              <w:rPr>
                <w:rFonts w:asciiTheme="minorEastAsia" w:hAnsiTheme="minorEastAsia"/>
                <w:kern w:val="0"/>
                <w:szCs w:val="21"/>
              </w:rPr>
              <w:t>4</w:t>
            </w:r>
            <w:r>
              <w:rPr>
                <w:rFonts w:hint="eastAsia" w:asciiTheme="minorEastAsia" w:hAnsiTheme="minorEastAsia"/>
                <w:kern w:val="0"/>
                <w:szCs w:val="21"/>
              </w:rPr>
              <w:t>〕68号）规定，本项目支持监狱企业参与政府采购活动。监狱企业参加本项目投标时，须提供由省级以上监狱管理局、戒毒管理局（含新疆生产建设兵团）出具的属于监狱企业的证明文件，视同小型、微型企业。</w:t>
            </w:r>
          </w:p>
          <w:p>
            <w:pPr>
              <w:spacing w:line="400" w:lineRule="exact"/>
              <w:rPr>
                <w:rFonts w:asciiTheme="minorEastAsia" w:hAnsiTheme="minorEastAsia"/>
                <w:kern w:val="0"/>
                <w:szCs w:val="21"/>
              </w:rPr>
            </w:pPr>
            <w:r>
              <w:rPr>
                <w:rFonts w:hint="eastAsia" w:asciiTheme="minorEastAsia" w:hAnsiTheme="minorEastAsia"/>
                <w:kern w:val="0"/>
                <w:szCs w:val="21"/>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pPr>
              <w:spacing w:line="400" w:lineRule="exact"/>
              <w:rPr>
                <w:rFonts w:asciiTheme="minorEastAsia" w:hAnsiTheme="minorEastAsia"/>
                <w:kern w:val="0"/>
                <w:szCs w:val="21"/>
              </w:rPr>
            </w:pPr>
            <w:r>
              <w:rPr>
                <w:rFonts w:hint="eastAsia" w:asciiTheme="minorEastAsia" w:hAnsiTheme="minorEastAsia"/>
                <w:kern w:val="0"/>
                <w:szCs w:val="21"/>
              </w:rPr>
              <w:t>E.根据《财政部发展改革委 生态环境部 市场监管总局 关于调整优化节能产品、环境标志产品政府采购执行机制的通知》（财库〔2019〕9号）、《市场监管总局关于发布参与实施政府采购节能产品、环境标志产品认证机构名录的公告》（以下简称“机构名录”）、《关于印发节能产品政府采购品目清单的通知》（财库〔2019〕19号）（以下简称“节能清单”）、《关于印发环境标志产品政府采购品目清单的通知》（财库〔2019〕18号）（以下简称“环保清单”）要求，投标产品中如有属于“节能清单”中标记“★”产品的，须提供经过“机构名录”中的认证机构出具的、处于有效期之内的“节能产品认证证书”。</w:t>
            </w:r>
          </w:p>
          <w:p>
            <w:pPr>
              <w:spacing w:line="400" w:lineRule="exact"/>
              <w:rPr>
                <w:rFonts w:asciiTheme="minorEastAsia" w:hAnsiTheme="minorEastAsia"/>
                <w:kern w:val="0"/>
                <w:szCs w:val="21"/>
              </w:rPr>
            </w:pPr>
            <w:r>
              <w:rPr>
                <w:rFonts w:hint="eastAsia" w:asciiTheme="minorEastAsia" w:hAnsiTheme="minorEastAsia"/>
                <w:kern w:val="0"/>
                <w:szCs w:val="21"/>
              </w:rPr>
              <w:t>对于投标产品属于“节能清单”中非标记“★”产品或属于 “环保清单”产品的，并提供经过“机构名录”中的认证机构出具的、处于有效期之内的产品认证证书的给予优先采购，未提供的视为主动放弃被优先采购的权利。</w:t>
            </w:r>
          </w:p>
          <w:p>
            <w:pPr>
              <w:spacing w:line="400" w:lineRule="exact"/>
              <w:rPr>
                <w:rFonts w:asciiTheme="minorEastAsia" w:hAnsiTheme="minorEastAsia"/>
                <w:kern w:val="0"/>
                <w:szCs w:val="21"/>
              </w:rPr>
            </w:pPr>
            <w:r>
              <w:rPr>
                <w:rFonts w:asciiTheme="minorEastAsia" w:hAnsiTheme="minorEastAsia"/>
                <w:kern w:val="0"/>
                <w:szCs w:val="21"/>
              </w:rPr>
              <w:t>F</w:t>
            </w:r>
            <w:r>
              <w:rPr>
                <w:rFonts w:hint="eastAsia" w:asciiTheme="minorEastAsia" w:hAnsiTheme="minorEastAsia"/>
                <w:kern w:val="0"/>
                <w:szCs w:val="21"/>
              </w:rPr>
              <w:t>．招标文件的最终解释权归采购人，其它未尽事宜，按国家有关法律、法规执行</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9.2</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付款方式：合同签订后支付合同价的50%，设备安装完成经验收合格付清合同余款。</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9.3</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代理服务费：</w:t>
            </w:r>
          </w:p>
          <w:p>
            <w:pPr>
              <w:spacing w:line="400" w:lineRule="exact"/>
              <w:rPr>
                <w:rFonts w:asciiTheme="minorEastAsia" w:hAnsiTheme="minorEastAsia"/>
                <w:kern w:val="0"/>
                <w:szCs w:val="21"/>
              </w:rPr>
            </w:pPr>
            <w:r>
              <w:rPr>
                <w:rFonts w:hint="eastAsia" w:asciiTheme="minorEastAsia" w:hAnsiTheme="minorEastAsia"/>
                <w:kern w:val="0"/>
                <w:szCs w:val="21"/>
              </w:rPr>
              <w:t>（1）根据国家发展改革委关于进一步放开建设项目专业服务价格的通知发改价格[2015] 299号文件的规定,本次招标代理服务费按预算价的1.5%（不足壹万按壹万收取）由中标人向采购代理机构交纳代理服务费。</w:t>
            </w:r>
          </w:p>
          <w:p>
            <w:pPr>
              <w:spacing w:line="400" w:lineRule="exact"/>
              <w:rPr>
                <w:rFonts w:asciiTheme="minorEastAsia" w:hAnsiTheme="minorEastAsia"/>
                <w:kern w:val="0"/>
                <w:szCs w:val="21"/>
              </w:rPr>
            </w:pPr>
            <w:r>
              <w:rPr>
                <w:rFonts w:hint="eastAsia" w:asciiTheme="minorEastAsia" w:hAnsiTheme="minorEastAsia"/>
                <w:kern w:val="0"/>
                <w:szCs w:val="21"/>
              </w:rPr>
              <w:t>（2）招标代理服务费的缴纳方式：中标人在领取中标通知书时，按招标文件的要求一次性向采购代理机构缴纳招标代理服务费。</w:t>
            </w:r>
          </w:p>
          <w:p>
            <w:pPr>
              <w:spacing w:line="400" w:lineRule="exact"/>
              <w:rPr>
                <w:rFonts w:hint="eastAsia" w:asciiTheme="minorEastAsia" w:hAnsiTheme="minorEastAsia"/>
                <w:kern w:val="0"/>
                <w:szCs w:val="21"/>
              </w:rPr>
            </w:pPr>
            <w:r>
              <w:rPr>
                <w:rFonts w:hint="eastAsia" w:asciiTheme="minorEastAsia" w:hAnsiTheme="minorEastAsia"/>
                <w:kern w:val="0"/>
                <w:szCs w:val="21"/>
              </w:rPr>
              <w:t>账户名称：河南万为项目咨询管理有限公司</w:t>
            </w:r>
          </w:p>
          <w:p>
            <w:pPr>
              <w:spacing w:line="400" w:lineRule="exact"/>
              <w:rPr>
                <w:rFonts w:hint="eastAsia" w:asciiTheme="minorEastAsia" w:hAnsiTheme="minorEastAsia"/>
                <w:kern w:val="0"/>
                <w:szCs w:val="21"/>
              </w:rPr>
            </w:pPr>
            <w:r>
              <w:rPr>
                <w:rFonts w:hint="eastAsia" w:asciiTheme="minorEastAsia" w:hAnsiTheme="minorEastAsia"/>
                <w:kern w:val="0"/>
                <w:szCs w:val="21"/>
              </w:rPr>
              <w:t>银行账号：371906284210118</w:t>
            </w:r>
          </w:p>
          <w:p>
            <w:pPr>
              <w:spacing w:line="400" w:lineRule="exact"/>
              <w:rPr>
                <w:rFonts w:asciiTheme="minorEastAsia" w:hAnsiTheme="minorEastAsia"/>
                <w:kern w:val="0"/>
                <w:szCs w:val="21"/>
              </w:rPr>
            </w:pPr>
            <w:r>
              <w:rPr>
                <w:rFonts w:hint="eastAsia" w:asciiTheme="minorEastAsia" w:hAnsiTheme="minorEastAsia"/>
                <w:kern w:val="0"/>
                <w:szCs w:val="21"/>
              </w:rPr>
              <w:t>开户银行： 招商银行股份有限公司郑州农业路支行</w:t>
            </w:r>
          </w:p>
        </w:tc>
      </w:tr>
      <w:tr>
        <w:tblPrEx>
          <w:tblCellMar>
            <w:top w:w="0" w:type="dxa"/>
            <w:left w:w="108" w:type="dxa"/>
            <w:bottom w:w="0" w:type="dxa"/>
            <w:right w:w="108" w:type="dxa"/>
          </w:tblCellMar>
        </w:tblPrEx>
        <w:trPr>
          <w:trHeight w:val="416"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w:t>
            </w:r>
          </w:p>
        </w:tc>
      </w:tr>
    </w:tbl>
    <w:p>
      <w:pPr>
        <w:pStyle w:val="16"/>
      </w:pPr>
    </w:p>
    <w:p>
      <w:pPr>
        <w:pStyle w:val="16"/>
      </w:pPr>
    </w:p>
    <w:p>
      <w:pPr>
        <w:widowControl/>
        <w:jc w:val="left"/>
        <w:rPr>
          <w:rFonts w:asciiTheme="minorEastAsia" w:hAnsiTheme="minorEastAsia" w:cstheme="majorBidi"/>
          <w:b/>
          <w:bCs/>
          <w:kern w:val="28"/>
          <w:sz w:val="28"/>
          <w:szCs w:val="32"/>
        </w:rPr>
      </w:pPr>
      <w:r>
        <w:rPr>
          <w:rFonts w:asciiTheme="minorEastAsia" w:hAnsiTheme="minorEastAsia"/>
          <w:sz w:val="28"/>
        </w:rPr>
        <w:br w:type="page"/>
      </w:r>
    </w:p>
    <w:p>
      <w:pPr>
        <w:pStyle w:val="23"/>
        <w:rPr>
          <w:rFonts w:asciiTheme="minorEastAsia" w:hAnsiTheme="minorEastAsia" w:eastAsiaTheme="minorEastAsia"/>
          <w:sz w:val="28"/>
        </w:rPr>
      </w:pPr>
      <w:bookmarkStart w:id="7" w:name="_Toc143350511"/>
      <w:r>
        <w:rPr>
          <w:rFonts w:hint="eastAsia" w:asciiTheme="minorEastAsia" w:hAnsiTheme="minorEastAsia" w:eastAsiaTheme="minorEastAsia"/>
          <w:sz w:val="28"/>
        </w:rPr>
        <w:t>投标人须知</w:t>
      </w:r>
      <w:bookmarkEnd w:id="7"/>
    </w:p>
    <w:p>
      <w:pPr>
        <w:pStyle w:val="5"/>
        <w:spacing w:before="0" w:after="0" w:line="360" w:lineRule="auto"/>
        <w:rPr>
          <w:rFonts w:asciiTheme="minorEastAsia" w:hAnsiTheme="minorEastAsia"/>
          <w:sz w:val="28"/>
        </w:rPr>
      </w:pPr>
      <w:bookmarkStart w:id="8" w:name="_Toc143350512"/>
      <w:r>
        <w:rPr>
          <w:rFonts w:hint="eastAsia" w:asciiTheme="minorEastAsia" w:hAnsiTheme="minorEastAsia"/>
          <w:sz w:val="28"/>
        </w:rPr>
        <w:t>1.  总则</w:t>
      </w:r>
      <w:bookmarkEnd w:id="8"/>
    </w:p>
    <w:p>
      <w:pPr>
        <w:pStyle w:val="6"/>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1.1 项目概况</w:t>
      </w:r>
    </w:p>
    <w:p>
      <w:pPr>
        <w:spacing w:line="360" w:lineRule="auto"/>
        <w:ind w:firstLine="424" w:firstLineChars="202"/>
        <w:rPr>
          <w:rFonts w:asciiTheme="minorEastAsia" w:hAnsiTheme="minorEastAsia"/>
        </w:rPr>
      </w:pPr>
      <w:r>
        <w:rPr>
          <w:rFonts w:hint="eastAsia" w:asciiTheme="minorEastAsia" w:hAnsiTheme="minorEastAsia"/>
        </w:rPr>
        <w:t>1.1.1采购人：见投标人须知前附表。</w:t>
      </w:r>
    </w:p>
    <w:p>
      <w:pPr>
        <w:spacing w:line="360" w:lineRule="auto"/>
        <w:ind w:firstLine="424" w:firstLineChars="202"/>
        <w:rPr>
          <w:rFonts w:asciiTheme="minorEastAsia" w:hAnsiTheme="minorEastAsia"/>
        </w:rPr>
      </w:pPr>
      <w:r>
        <w:rPr>
          <w:rFonts w:hint="eastAsia" w:asciiTheme="minorEastAsia" w:hAnsiTheme="minorEastAsia"/>
        </w:rPr>
        <w:t>1.1.2采购代理机构：见投标人须知前附表。</w:t>
      </w:r>
    </w:p>
    <w:p>
      <w:pPr>
        <w:spacing w:line="360" w:lineRule="auto"/>
        <w:ind w:firstLine="424" w:firstLineChars="202"/>
        <w:rPr>
          <w:rFonts w:asciiTheme="minorEastAsia" w:hAnsiTheme="minorEastAsia"/>
        </w:rPr>
      </w:pPr>
      <w:r>
        <w:rPr>
          <w:rFonts w:hint="eastAsia" w:asciiTheme="minorEastAsia" w:hAnsiTheme="minorEastAsia"/>
        </w:rPr>
        <w:t>1.1.3项目名称：见投标人须知前附表。</w:t>
      </w:r>
    </w:p>
    <w:p>
      <w:pPr>
        <w:pStyle w:val="6"/>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1.2 预算金额和资金来源</w:t>
      </w:r>
    </w:p>
    <w:p>
      <w:pPr>
        <w:spacing w:line="360" w:lineRule="auto"/>
        <w:ind w:firstLine="424" w:firstLineChars="202"/>
        <w:rPr>
          <w:rFonts w:asciiTheme="minorEastAsia" w:hAnsiTheme="minorEastAsia"/>
        </w:rPr>
      </w:pPr>
      <w:r>
        <w:rPr>
          <w:rFonts w:hint="eastAsia" w:asciiTheme="minorEastAsia" w:hAnsiTheme="minorEastAsia"/>
        </w:rPr>
        <w:t>1.2.1预算金额：见投标人须知前附表。</w:t>
      </w:r>
    </w:p>
    <w:p>
      <w:pPr>
        <w:spacing w:line="360" w:lineRule="auto"/>
        <w:ind w:firstLine="424" w:firstLineChars="202"/>
        <w:rPr>
          <w:rFonts w:asciiTheme="minorEastAsia" w:hAnsiTheme="minorEastAsia"/>
        </w:rPr>
      </w:pPr>
      <w:r>
        <w:rPr>
          <w:rFonts w:hint="eastAsia" w:asciiTheme="minorEastAsia" w:hAnsiTheme="minorEastAsia"/>
        </w:rPr>
        <w:t>1.2.2 资金来源：见投标人须知前附表。</w:t>
      </w:r>
    </w:p>
    <w:p>
      <w:pPr>
        <w:pStyle w:val="6"/>
        <w:spacing w:before="0" w:after="0" w:line="360" w:lineRule="auto"/>
        <w:rPr>
          <w:sz w:val="21"/>
        </w:rPr>
      </w:pPr>
      <w:r>
        <w:rPr>
          <w:rFonts w:hint="eastAsia"/>
          <w:sz w:val="21"/>
        </w:rPr>
        <w:t>1.3 采购需求、交货期、质量要求、质保期</w:t>
      </w:r>
    </w:p>
    <w:p>
      <w:pPr>
        <w:spacing w:line="360" w:lineRule="auto"/>
        <w:ind w:firstLine="424" w:firstLineChars="202"/>
        <w:rPr>
          <w:rFonts w:asciiTheme="minorEastAsia" w:hAnsiTheme="minorEastAsia"/>
        </w:rPr>
      </w:pPr>
      <w:r>
        <w:rPr>
          <w:rFonts w:hint="eastAsia" w:asciiTheme="minorEastAsia" w:hAnsiTheme="minorEastAsia"/>
        </w:rPr>
        <w:t>1.3.1采购需求：见投标人须知前附表。</w:t>
      </w:r>
    </w:p>
    <w:p>
      <w:pPr>
        <w:spacing w:line="360" w:lineRule="auto"/>
        <w:ind w:firstLine="424" w:firstLineChars="202"/>
        <w:rPr>
          <w:rFonts w:asciiTheme="minorEastAsia" w:hAnsiTheme="minorEastAsia"/>
        </w:rPr>
      </w:pPr>
      <w:r>
        <w:rPr>
          <w:rFonts w:hint="eastAsia" w:asciiTheme="minorEastAsia" w:hAnsiTheme="minorEastAsia"/>
        </w:rPr>
        <w:t>1.3.2 交货期：见投标人须知前附表。</w:t>
      </w:r>
    </w:p>
    <w:p>
      <w:pPr>
        <w:spacing w:line="360" w:lineRule="auto"/>
        <w:ind w:firstLine="424" w:firstLineChars="202"/>
        <w:rPr>
          <w:rFonts w:asciiTheme="minorEastAsia" w:hAnsiTheme="minorEastAsia"/>
        </w:rPr>
      </w:pPr>
      <w:r>
        <w:rPr>
          <w:rFonts w:hint="eastAsia" w:asciiTheme="minorEastAsia" w:hAnsiTheme="minorEastAsia"/>
        </w:rPr>
        <w:t>1.3.3 质保期：见投标人须知前附表。</w:t>
      </w:r>
    </w:p>
    <w:p>
      <w:pPr>
        <w:spacing w:line="360" w:lineRule="auto"/>
        <w:ind w:firstLine="424" w:firstLineChars="202"/>
        <w:rPr>
          <w:rFonts w:asciiTheme="minorEastAsia" w:hAnsiTheme="minorEastAsia"/>
        </w:rPr>
      </w:pPr>
      <w:r>
        <w:rPr>
          <w:rFonts w:hint="eastAsia" w:asciiTheme="minorEastAsia" w:hAnsiTheme="minorEastAsia"/>
        </w:rPr>
        <w:t>1.3.4 质量要求：见投标人须知前附表。</w:t>
      </w:r>
    </w:p>
    <w:p>
      <w:pPr>
        <w:pStyle w:val="6"/>
        <w:spacing w:before="0" w:after="0" w:line="360" w:lineRule="auto"/>
        <w:rPr>
          <w:sz w:val="21"/>
        </w:rPr>
      </w:pPr>
      <w:r>
        <w:rPr>
          <w:rFonts w:hint="eastAsia"/>
          <w:sz w:val="21"/>
        </w:rPr>
        <w:t>1.4 投标人资格要求</w:t>
      </w:r>
    </w:p>
    <w:p>
      <w:pPr>
        <w:spacing w:line="360" w:lineRule="auto"/>
        <w:ind w:firstLine="424" w:firstLineChars="202"/>
        <w:rPr>
          <w:rFonts w:asciiTheme="minorEastAsia" w:hAnsiTheme="minorEastAsia"/>
        </w:rPr>
      </w:pPr>
      <w:r>
        <w:rPr>
          <w:rFonts w:hint="eastAsia" w:asciiTheme="minorEastAsia" w:hAnsiTheme="minorEastAsia"/>
        </w:rPr>
        <w:t>1.4.1 投标人应具备的资格要求见投标人须知前附表：需要提交的相关证明材料见本章第 3.5 款的规定。</w:t>
      </w:r>
    </w:p>
    <w:p>
      <w:pPr>
        <w:spacing w:line="360" w:lineRule="auto"/>
        <w:ind w:firstLine="424" w:firstLineChars="202"/>
        <w:rPr>
          <w:rFonts w:asciiTheme="minorEastAsia" w:hAnsiTheme="minorEastAsia"/>
        </w:rPr>
      </w:pPr>
      <w:r>
        <w:rPr>
          <w:rFonts w:hint="eastAsia" w:asciiTheme="minorEastAsia" w:hAnsiTheme="minorEastAsia"/>
        </w:rPr>
        <w:t>1.4.2 是否接受联合体见投标投标人须知前附表规定。</w:t>
      </w:r>
    </w:p>
    <w:p>
      <w:pPr>
        <w:pStyle w:val="6"/>
        <w:spacing w:before="0" w:after="0" w:line="360" w:lineRule="auto"/>
        <w:rPr>
          <w:sz w:val="21"/>
        </w:rPr>
      </w:pPr>
      <w:r>
        <w:rPr>
          <w:rFonts w:hint="eastAsia"/>
          <w:sz w:val="21"/>
        </w:rPr>
        <w:t>1.5 费用承担</w:t>
      </w:r>
    </w:p>
    <w:p>
      <w:pPr>
        <w:spacing w:line="360" w:lineRule="auto"/>
        <w:ind w:firstLine="424" w:firstLineChars="202"/>
        <w:rPr>
          <w:rFonts w:asciiTheme="minorEastAsia" w:hAnsiTheme="minorEastAsia"/>
        </w:rPr>
      </w:pPr>
      <w:r>
        <w:rPr>
          <w:rFonts w:hint="eastAsia" w:asciiTheme="minorEastAsia" w:hAnsiTheme="minorEastAsia"/>
        </w:rPr>
        <w:t>投标人准备和参加投标活动发生的费用自理。</w:t>
      </w:r>
    </w:p>
    <w:p>
      <w:pPr>
        <w:pStyle w:val="6"/>
        <w:spacing w:before="0" w:after="0" w:line="360" w:lineRule="auto"/>
        <w:rPr>
          <w:sz w:val="21"/>
        </w:rPr>
      </w:pPr>
      <w:r>
        <w:rPr>
          <w:rFonts w:hint="eastAsia"/>
          <w:sz w:val="21"/>
        </w:rPr>
        <w:t>1.6 保密</w:t>
      </w:r>
    </w:p>
    <w:p>
      <w:pPr>
        <w:spacing w:line="360" w:lineRule="auto"/>
        <w:ind w:firstLine="424" w:firstLineChars="202"/>
        <w:rPr>
          <w:rFonts w:asciiTheme="minorEastAsia" w:hAnsiTheme="minorEastAsia"/>
        </w:rPr>
      </w:pPr>
      <w:r>
        <w:rPr>
          <w:rFonts w:hint="eastAsia" w:asciiTheme="minorEastAsia" w:hAnsiTheme="minorEastAsia"/>
        </w:rPr>
        <w:t>参与招标投标活动的各方应对招标文件和投标文件中的商业和技术等秘密保密，否则应承担相应的法律责任。</w:t>
      </w:r>
    </w:p>
    <w:p>
      <w:pPr>
        <w:pStyle w:val="6"/>
        <w:spacing w:before="0" w:after="0" w:line="360" w:lineRule="auto"/>
        <w:rPr>
          <w:sz w:val="21"/>
        </w:rPr>
      </w:pPr>
      <w:r>
        <w:rPr>
          <w:rFonts w:hint="eastAsia"/>
          <w:sz w:val="21"/>
        </w:rPr>
        <w:t>1.7 语言文字</w:t>
      </w:r>
    </w:p>
    <w:p>
      <w:pPr>
        <w:spacing w:line="360" w:lineRule="auto"/>
        <w:ind w:firstLine="424" w:firstLineChars="202"/>
        <w:rPr>
          <w:rFonts w:asciiTheme="minorEastAsia" w:hAnsiTheme="minorEastAsia"/>
        </w:rPr>
      </w:pPr>
      <w:r>
        <w:rPr>
          <w:rFonts w:hint="eastAsia" w:asciiTheme="minorEastAsia" w:hAnsiTheme="minorEastAsia"/>
        </w:rPr>
        <w:t>招标投标文件使用的语言文字为中文。专用术语使用外文的，应附有中文注释。</w:t>
      </w:r>
    </w:p>
    <w:p>
      <w:pPr>
        <w:pStyle w:val="6"/>
        <w:spacing w:before="0" w:after="0" w:line="360" w:lineRule="auto"/>
        <w:rPr>
          <w:sz w:val="21"/>
        </w:rPr>
      </w:pPr>
      <w:r>
        <w:rPr>
          <w:rFonts w:hint="eastAsia"/>
          <w:sz w:val="21"/>
        </w:rPr>
        <w:t>1.8 计量单位</w:t>
      </w:r>
    </w:p>
    <w:p>
      <w:pPr>
        <w:spacing w:line="360" w:lineRule="auto"/>
        <w:ind w:firstLine="424" w:firstLineChars="202"/>
        <w:rPr>
          <w:rFonts w:asciiTheme="minorEastAsia" w:hAnsiTheme="minorEastAsia"/>
        </w:rPr>
      </w:pPr>
      <w:r>
        <w:rPr>
          <w:rFonts w:hint="eastAsia" w:asciiTheme="minorEastAsia" w:hAnsiTheme="minorEastAsia"/>
        </w:rPr>
        <w:t>所有计量均采用中华人民共和国法定计量单位。</w:t>
      </w:r>
    </w:p>
    <w:p>
      <w:pPr>
        <w:pStyle w:val="6"/>
        <w:spacing w:before="0" w:after="0" w:line="360" w:lineRule="auto"/>
        <w:rPr>
          <w:sz w:val="21"/>
        </w:rPr>
      </w:pPr>
      <w:r>
        <w:rPr>
          <w:rFonts w:hint="eastAsia"/>
          <w:sz w:val="21"/>
        </w:rPr>
        <w:t>1.9 现场踏勘</w:t>
      </w:r>
    </w:p>
    <w:p>
      <w:pPr>
        <w:spacing w:line="360" w:lineRule="auto"/>
        <w:ind w:firstLine="424" w:firstLineChars="202"/>
        <w:rPr>
          <w:rFonts w:asciiTheme="minorEastAsia" w:hAnsiTheme="minorEastAsia"/>
        </w:rPr>
      </w:pPr>
      <w:r>
        <w:rPr>
          <w:rFonts w:hint="eastAsia" w:asciiTheme="minorEastAsia" w:hAnsiTheme="minorEastAsia"/>
        </w:rPr>
        <w:t>投标人须知前附表规定潜在投标人现场踏勘的，采购人或者采购代理机构人按“投标人须知前附表”规定的时间、地点组织投标人踏勘项目现场。</w:t>
      </w:r>
    </w:p>
    <w:p>
      <w:pPr>
        <w:pStyle w:val="6"/>
        <w:spacing w:before="0" w:after="0" w:line="360" w:lineRule="auto"/>
        <w:rPr>
          <w:sz w:val="21"/>
        </w:rPr>
      </w:pPr>
      <w:r>
        <w:rPr>
          <w:rFonts w:hint="eastAsia"/>
          <w:sz w:val="21"/>
        </w:rPr>
        <w:t>1.10 分包</w:t>
      </w:r>
    </w:p>
    <w:p>
      <w:pPr>
        <w:spacing w:line="360" w:lineRule="auto"/>
        <w:ind w:firstLine="424" w:firstLineChars="202"/>
        <w:rPr>
          <w:rFonts w:asciiTheme="minorEastAsia" w:hAnsiTheme="minorEastAsia"/>
        </w:rPr>
      </w:pPr>
      <w:r>
        <w:rPr>
          <w:rFonts w:hint="eastAsia" w:asciiTheme="minorEastAsia" w:hAnsiTheme="minorEastAsia"/>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6"/>
        <w:spacing w:before="0" w:after="0" w:line="360" w:lineRule="auto"/>
        <w:rPr>
          <w:sz w:val="21"/>
        </w:rPr>
      </w:pPr>
      <w:r>
        <w:rPr>
          <w:rFonts w:hint="eastAsia"/>
          <w:sz w:val="21"/>
        </w:rPr>
        <w:t>1.11 响应和偏差</w:t>
      </w:r>
    </w:p>
    <w:p>
      <w:pPr>
        <w:spacing w:line="360" w:lineRule="auto"/>
        <w:ind w:firstLine="424" w:firstLineChars="202"/>
        <w:rPr>
          <w:rFonts w:asciiTheme="minorEastAsia" w:hAnsiTheme="minorEastAsia"/>
        </w:rPr>
      </w:pPr>
      <w:r>
        <w:rPr>
          <w:rFonts w:hint="eastAsia" w:asciiTheme="minorEastAsia" w:hAnsiTheme="minorEastAsia"/>
        </w:rPr>
        <w:t>1.11.1 投标文件应当对招标文件的实质性要求和条件做出满足性或更有利于采购人的响应，否则，投标人的投标将被否决。实质性要求和条件见投标人须知前附表。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rPr>
      </w:pPr>
      <w:r>
        <w:rPr>
          <w:rFonts w:hint="eastAsia" w:asciiTheme="minorEastAsia" w:hAnsiTheme="minorEastAsia"/>
        </w:rPr>
        <w:t>1.11.2 投标人应根据招标文件的要求提供商务、技术等内容以对招标文件作出响应。</w:t>
      </w:r>
    </w:p>
    <w:p>
      <w:pPr>
        <w:pStyle w:val="5"/>
        <w:spacing w:before="0" w:after="0" w:line="360" w:lineRule="auto"/>
        <w:rPr>
          <w:sz w:val="24"/>
        </w:rPr>
      </w:pPr>
      <w:bookmarkStart w:id="9" w:name="_Toc143350513"/>
      <w:r>
        <w:rPr>
          <w:rFonts w:hint="eastAsia"/>
          <w:sz w:val="24"/>
        </w:rPr>
        <w:t>2.  招标文件</w:t>
      </w:r>
      <w:bookmarkEnd w:id="9"/>
    </w:p>
    <w:p>
      <w:pPr>
        <w:pStyle w:val="6"/>
        <w:spacing w:before="0" w:after="0" w:line="360" w:lineRule="auto"/>
        <w:rPr>
          <w:sz w:val="21"/>
        </w:rPr>
      </w:pPr>
      <w:r>
        <w:rPr>
          <w:rFonts w:hint="eastAsia"/>
          <w:sz w:val="21"/>
        </w:rPr>
        <w:t>2.1 招标文件的组成</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本招标文件包括：</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（1）招标公告；</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（2）投标人须知；</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（3）评标方法和标准；</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（4）合同格式；</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（5）投标文件格式；</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（6）采购需求；</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（7）投标人须知前附表规定的其他资料。</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根据本章第 2.2 款和第 2.3 款对招标文件所做的澄清、修改，构成招标文件的组成部分。</w:t>
      </w:r>
    </w:p>
    <w:p>
      <w:pPr>
        <w:pStyle w:val="6"/>
        <w:spacing w:before="0" w:after="0" w:line="360" w:lineRule="auto"/>
        <w:rPr>
          <w:sz w:val="21"/>
        </w:rPr>
      </w:pPr>
      <w:r>
        <w:rPr>
          <w:rFonts w:hint="eastAsia"/>
          <w:sz w:val="21"/>
        </w:rPr>
        <w:t>2.2 招标文件的澄清</w:t>
      </w:r>
    </w:p>
    <w:p>
      <w:pPr>
        <w:spacing w:line="360" w:lineRule="auto"/>
        <w:ind w:firstLine="424" w:firstLineChars="202"/>
        <w:rPr>
          <w:rFonts w:asciiTheme="minorEastAsia" w:hAnsiTheme="minorEastAsia"/>
        </w:rPr>
      </w:pPr>
      <w:r>
        <w:rPr>
          <w:rFonts w:hint="eastAsia" w:asciiTheme="minorEastAsia" w:hAnsiTheme="minorEastAsia"/>
        </w:rPr>
        <w:t>2.2.1 投标人应仔细阅读和检查招标文件的全部内容。如有疑问，应按投标人须知前附表规定的时间和形式送达采购人，要求</w:t>
      </w:r>
      <w:r>
        <w:rPr>
          <w:rFonts w:hint="eastAsia" w:ascii="Times New Roman" w:hAnsi="Times New Roman" w:eastAsia="宋体"/>
        </w:rPr>
        <w:t>采购人或采购代理机构</w:t>
      </w:r>
      <w:r>
        <w:rPr>
          <w:rFonts w:hint="eastAsia" w:asciiTheme="minorEastAsia" w:hAnsiTheme="minorEastAsia"/>
        </w:rPr>
        <w:t>对招标文件予以澄清。</w:t>
      </w:r>
    </w:p>
    <w:p>
      <w:pPr>
        <w:spacing w:line="360" w:lineRule="auto"/>
        <w:ind w:firstLine="424" w:firstLineChars="202"/>
        <w:rPr>
          <w:rFonts w:asciiTheme="minorEastAsia" w:hAnsiTheme="minorEastAsia"/>
        </w:rPr>
      </w:pPr>
      <w:r>
        <w:rPr>
          <w:rFonts w:hint="eastAsia" w:asciiTheme="minorEastAsia" w:hAnsiTheme="minorEastAsia"/>
        </w:rPr>
        <w:t>2.2.2 招标文件的澄清以投标人须知前附表规定的形式通知所有领取招标文件的投标人，但不指明澄清问题的来源。澄清发出的时间距本章第 4.2.1 项规定的投标截止时间不足 15 日的，并且澄清内容可能影响投标文件编制的，</w:t>
      </w:r>
      <w:r>
        <w:rPr>
          <w:rFonts w:hint="eastAsia" w:ascii="Times New Roman" w:hAnsi="Times New Roman" w:eastAsia="宋体"/>
        </w:rPr>
        <w:t>采购人、采购代理机构</w:t>
      </w:r>
      <w:r>
        <w:rPr>
          <w:rFonts w:hint="eastAsia" w:asciiTheme="minorEastAsia" w:hAnsiTheme="minorEastAsia"/>
        </w:rPr>
        <w:t>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2.2.3澄清内容是招标文件的组成部分，澄清内容在电子交易平台发布，视作已送达所有投标人，并对投标人具有约束力。</w:t>
      </w:r>
    </w:p>
    <w:p>
      <w:pPr>
        <w:spacing w:line="360" w:lineRule="auto"/>
        <w:ind w:firstLine="424" w:firstLineChars="202"/>
        <w:rPr>
          <w:rFonts w:asciiTheme="minorEastAsia" w:hAnsiTheme="minorEastAsia"/>
        </w:rPr>
      </w:pPr>
      <w:r>
        <w:rPr>
          <w:rFonts w:hint="eastAsia" w:asciiTheme="minorEastAsia" w:hAnsiTheme="minorEastAsia"/>
        </w:rPr>
        <w:t xml:space="preserve">2.2.4 </w:t>
      </w:r>
      <w:r>
        <w:rPr>
          <w:rFonts w:hint="eastAsia" w:ascii="Times New Roman" w:hAnsi="Times New Roman" w:eastAsia="宋体"/>
        </w:rPr>
        <w:t>除非采购人认为确有必要答复，否则，采购人有权拒绝回复投标人在本章第2.2.1项规定的时间后的任何澄清要求</w:t>
      </w:r>
      <w:r>
        <w:rPr>
          <w:rFonts w:hint="eastAsia" w:asciiTheme="minorEastAsia" w:hAnsiTheme="minorEastAsia"/>
        </w:rPr>
        <w:t>。</w:t>
      </w:r>
    </w:p>
    <w:p>
      <w:pPr>
        <w:pStyle w:val="6"/>
        <w:spacing w:before="0" w:after="0" w:line="360" w:lineRule="auto"/>
        <w:rPr>
          <w:sz w:val="21"/>
        </w:rPr>
      </w:pPr>
      <w:r>
        <w:rPr>
          <w:rFonts w:hint="eastAsia"/>
          <w:sz w:val="21"/>
        </w:rPr>
        <w:t>2.3 招标文件的修改</w:t>
      </w:r>
    </w:p>
    <w:p>
      <w:pPr>
        <w:spacing w:line="360" w:lineRule="auto"/>
        <w:ind w:firstLine="424" w:firstLineChars="202"/>
        <w:rPr>
          <w:rFonts w:asciiTheme="minorEastAsia" w:hAnsiTheme="minorEastAsia"/>
        </w:rPr>
      </w:pPr>
      <w:r>
        <w:rPr>
          <w:rFonts w:hint="eastAsia" w:asciiTheme="minorEastAsia" w:hAnsiTheme="minorEastAsia"/>
        </w:rPr>
        <w:t>2.3.1招标文件的修改以投标人须知前附表规定的形式通知所有已领取招标文件的投标人。修改招标文件的时间距本章第 4.2.1 项规定的投标截止时间不足 15 日的，并且修改内容可能影响投标文件编制的，</w:t>
      </w:r>
      <w:r>
        <w:rPr>
          <w:rFonts w:hint="eastAsia" w:ascii="Times New Roman" w:hAnsi="Times New Roman" w:eastAsia="宋体"/>
        </w:rPr>
        <w:t>采购人、采购代理机构</w:t>
      </w:r>
      <w:r>
        <w:rPr>
          <w:rFonts w:hint="eastAsia" w:asciiTheme="minorEastAsia" w:hAnsiTheme="minorEastAsia"/>
        </w:rPr>
        <w:t>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2.3.2 修改内容是招标文件的组成部分，修改内容在电子交易平台发布，视作已送达所有投标人，并对投标人具有约束力。</w:t>
      </w:r>
    </w:p>
    <w:p>
      <w:pPr>
        <w:pStyle w:val="5"/>
        <w:spacing w:before="0" w:after="0" w:line="360" w:lineRule="auto"/>
        <w:rPr>
          <w:sz w:val="24"/>
        </w:rPr>
      </w:pPr>
      <w:bookmarkStart w:id="10" w:name="_Toc143350514"/>
      <w:r>
        <w:rPr>
          <w:rFonts w:hint="eastAsia"/>
          <w:sz w:val="24"/>
        </w:rPr>
        <w:t>3.  投标文件</w:t>
      </w:r>
      <w:bookmarkEnd w:id="10"/>
    </w:p>
    <w:p>
      <w:pPr>
        <w:pStyle w:val="6"/>
        <w:spacing w:before="0" w:after="0" w:line="360" w:lineRule="auto"/>
        <w:rPr>
          <w:sz w:val="21"/>
          <w:szCs w:val="21"/>
        </w:rPr>
      </w:pPr>
      <w:r>
        <w:rPr>
          <w:rFonts w:hint="eastAsia"/>
          <w:sz w:val="21"/>
          <w:szCs w:val="21"/>
        </w:rPr>
        <w:t>3.1 投标文件的组成</w:t>
      </w:r>
    </w:p>
    <w:p>
      <w:pPr>
        <w:spacing w:line="360" w:lineRule="auto"/>
        <w:ind w:firstLine="424" w:firstLineChars="202"/>
        <w:rPr>
          <w:rFonts w:asciiTheme="minorEastAsia" w:hAnsiTheme="minorEastAsia"/>
        </w:rPr>
      </w:pPr>
      <w:r>
        <w:rPr>
          <w:rFonts w:hint="eastAsia" w:asciiTheme="minorEastAsia" w:hAnsiTheme="minorEastAsia"/>
        </w:rPr>
        <w:t>投标文件应包括下列内容：</w:t>
      </w:r>
    </w:p>
    <w:p>
      <w:pPr>
        <w:spacing w:line="360" w:lineRule="auto"/>
        <w:ind w:firstLine="424" w:firstLineChars="202"/>
        <w:rPr>
          <w:rFonts w:asciiTheme="minorEastAsia" w:hAnsiTheme="minorEastAsia"/>
        </w:rPr>
      </w:pPr>
      <w:r>
        <w:rPr>
          <w:rFonts w:hint="eastAsia" w:asciiTheme="minorEastAsia" w:hAnsiTheme="minorEastAsia"/>
        </w:rPr>
        <w:t>（1）资格审查证明材料；</w:t>
      </w:r>
    </w:p>
    <w:p>
      <w:pPr>
        <w:spacing w:line="360" w:lineRule="auto"/>
        <w:ind w:firstLine="424" w:firstLineChars="202"/>
        <w:rPr>
          <w:rFonts w:asciiTheme="minorEastAsia" w:hAnsiTheme="minorEastAsia"/>
        </w:rPr>
      </w:pPr>
      <w:r>
        <w:rPr>
          <w:rFonts w:hint="eastAsia" w:asciiTheme="minorEastAsia" w:hAnsiTheme="minorEastAsia"/>
        </w:rPr>
        <w:t>（2）商务、技术文件；</w:t>
      </w:r>
    </w:p>
    <w:p>
      <w:pPr>
        <w:spacing w:line="360" w:lineRule="auto"/>
        <w:ind w:firstLine="424" w:firstLineChars="202"/>
        <w:rPr>
          <w:rFonts w:asciiTheme="minorEastAsia" w:hAnsiTheme="minorEastAsia"/>
        </w:rPr>
      </w:pPr>
      <w:r>
        <w:rPr>
          <w:rFonts w:hint="eastAsia" w:asciiTheme="minorEastAsia" w:hAnsiTheme="minorEastAsia"/>
        </w:rPr>
        <w:t>（3）投标人在评标过程中作出的符合法律法规和招标文件规定的澄清确认，构成投标文件的组成部分。</w:t>
      </w:r>
    </w:p>
    <w:p>
      <w:pPr>
        <w:pStyle w:val="6"/>
        <w:spacing w:before="0" w:after="0" w:line="360" w:lineRule="auto"/>
        <w:rPr>
          <w:sz w:val="21"/>
        </w:rPr>
      </w:pPr>
      <w:r>
        <w:rPr>
          <w:rFonts w:hint="eastAsia"/>
          <w:sz w:val="21"/>
        </w:rPr>
        <w:t>3.2 投标报价</w:t>
      </w:r>
    </w:p>
    <w:p>
      <w:pPr>
        <w:spacing w:line="360" w:lineRule="auto"/>
        <w:ind w:firstLine="424" w:firstLineChars="202"/>
        <w:rPr>
          <w:rFonts w:asciiTheme="minorEastAsia" w:hAnsiTheme="minorEastAsia"/>
        </w:rPr>
      </w:pPr>
      <w:bookmarkStart w:id="11" w:name="_Hlk66354647"/>
      <w:r>
        <w:rPr>
          <w:rFonts w:hint="eastAsia" w:asciiTheme="minorEastAsia" w:hAnsiTheme="minorEastAsia"/>
        </w:rPr>
        <w:t>3.2.1投标人应按照招标文件提供的投标报价表格式填写投标报价。</w:t>
      </w:r>
    </w:p>
    <w:p>
      <w:pPr>
        <w:spacing w:line="360" w:lineRule="auto"/>
        <w:ind w:firstLine="424" w:firstLineChars="202"/>
        <w:rPr>
          <w:rFonts w:asciiTheme="minorEastAsia" w:hAnsiTheme="minorEastAsia"/>
        </w:rPr>
      </w:pPr>
      <w:r>
        <w:rPr>
          <w:rFonts w:hint="eastAsia" w:asciiTheme="minorEastAsia" w:hAnsiTheme="minorEastAsia"/>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rPr>
      </w:pPr>
      <w:r>
        <w:rPr>
          <w:rFonts w:hint="eastAsia" w:asciiTheme="minorEastAsia" w:hAnsiTheme="minorEastAsia"/>
        </w:rPr>
        <w:t>3.2.3投标报价应完全包括招标文件规定的全部服务范围，不得任意分割或合并所规定的分项。</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4</w:t>
      </w:r>
      <w:r>
        <w:rPr>
          <w:rFonts w:hint="eastAsia" w:asciiTheme="minorEastAsia" w:hAnsiTheme="minorEastAsia"/>
        </w:rPr>
        <w:t>只允许有一个报价，采购人和采购代理机构不接受有任何选择报价的投标。</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5</w:t>
      </w:r>
      <w:r>
        <w:rPr>
          <w:rFonts w:hint="eastAsia" w:asciiTheme="minorEastAsia" w:hAnsiTheme="minorEastAsia"/>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6</w:t>
      </w:r>
      <w:r>
        <w:rPr>
          <w:rFonts w:hint="eastAsia" w:asciiTheme="minorEastAsia" w:hAnsiTheme="minorEastAsia"/>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7</w:t>
      </w:r>
      <w:r>
        <w:rPr>
          <w:rFonts w:hint="eastAsia" w:asciiTheme="minorEastAsia" w:hAnsiTheme="minorEastAsia"/>
        </w:rPr>
        <w:t>投标报价的其他要求见投标人须知前附表。</w:t>
      </w:r>
    </w:p>
    <w:bookmarkEnd w:id="11"/>
    <w:p>
      <w:pPr>
        <w:pStyle w:val="6"/>
        <w:spacing w:before="0" w:after="0" w:line="360" w:lineRule="auto"/>
        <w:rPr>
          <w:sz w:val="21"/>
        </w:rPr>
      </w:pPr>
      <w:r>
        <w:rPr>
          <w:rFonts w:hint="eastAsia"/>
          <w:sz w:val="21"/>
        </w:rPr>
        <w:t>3.3 投标有效期</w:t>
      </w:r>
    </w:p>
    <w:p>
      <w:pPr>
        <w:spacing w:line="360" w:lineRule="auto"/>
        <w:ind w:firstLine="424" w:firstLineChars="202"/>
        <w:rPr>
          <w:rFonts w:asciiTheme="minorEastAsia" w:hAnsiTheme="minorEastAsia"/>
        </w:rPr>
      </w:pPr>
      <w:r>
        <w:rPr>
          <w:rFonts w:hint="eastAsia" w:asciiTheme="minorEastAsia" w:hAnsiTheme="minorEastAsia"/>
        </w:rPr>
        <w:t>3.3.1 投标有效期要求见投标人须知前附表。</w:t>
      </w:r>
    </w:p>
    <w:p>
      <w:pPr>
        <w:spacing w:line="360" w:lineRule="auto"/>
        <w:ind w:firstLine="424" w:firstLineChars="202"/>
        <w:rPr>
          <w:rFonts w:asciiTheme="minorEastAsia" w:hAnsiTheme="minorEastAsia"/>
        </w:rPr>
      </w:pPr>
      <w:r>
        <w:rPr>
          <w:rFonts w:hint="eastAsia" w:asciiTheme="minorEastAsia" w:hAnsiTheme="minorEastAsia"/>
        </w:rPr>
        <w:t>3.3.2投标有效期从提交投标文件的截止之日起算。投标文件中承诺的投标有效期应当不少于招标文件中载明的投标有效期。投标有效期内投标人撤销投标文件的，投标文件无效。</w:t>
      </w:r>
    </w:p>
    <w:p>
      <w:pPr>
        <w:pStyle w:val="6"/>
        <w:spacing w:before="0" w:after="0" w:line="360" w:lineRule="auto"/>
        <w:rPr>
          <w:sz w:val="21"/>
        </w:rPr>
      </w:pPr>
      <w:r>
        <w:rPr>
          <w:rFonts w:hint="eastAsia"/>
          <w:sz w:val="21"/>
        </w:rPr>
        <w:t>3.4 投标保证金</w:t>
      </w:r>
    </w:p>
    <w:p>
      <w:pPr>
        <w:spacing w:line="360" w:lineRule="auto"/>
        <w:ind w:firstLine="424" w:firstLineChars="202"/>
        <w:rPr>
          <w:rFonts w:asciiTheme="minorEastAsia" w:hAnsiTheme="minorEastAsia"/>
        </w:rPr>
      </w:pPr>
      <w:r>
        <w:rPr>
          <w:rFonts w:hint="eastAsia"/>
        </w:rPr>
        <w:t>根据《河南省财政厅关于优化政府采购营商环境有关问题的通知》</w:t>
      </w:r>
      <w:r>
        <w:rPr>
          <w:rFonts w:hint="eastAsia" w:asciiTheme="minorEastAsia" w:hAnsiTheme="minorEastAsia"/>
          <w:kern w:val="0"/>
          <w:szCs w:val="21"/>
        </w:rPr>
        <w:t>（豫财购〔201</w:t>
      </w:r>
      <w:r>
        <w:rPr>
          <w:rFonts w:asciiTheme="minorEastAsia" w:hAnsiTheme="minorEastAsia"/>
          <w:kern w:val="0"/>
          <w:szCs w:val="21"/>
        </w:rPr>
        <w:t>9</w:t>
      </w:r>
      <w:r>
        <w:rPr>
          <w:rFonts w:hint="eastAsia" w:asciiTheme="minorEastAsia" w:hAnsiTheme="minorEastAsia"/>
          <w:kern w:val="0"/>
          <w:szCs w:val="21"/>
        </w:rPr>
        <w:t>〕4号）</w:t>
      </w:r>
      <w:r>
        <w:t>文件之规定，本项目不再要求投标人提交投标保证金</w:t>
      </w:r>
      <w:bookmarkStart w:id="12" w:name="_Hlk66355967"/>
      <w:r>
        <w:rPr>
          <w:rFonts w:hint="eastAsia"/>
        </w:rPr>
        <w:t>，</w:t>
      </w:r>
      <w:r>
        <w:rPr>
          <w:rFonts w:hint="eastAsia" w:asciiTheme="minorEastAsia" w:hAnsiTheme="minorEastAsia"/>
          <w:kern w:val="0"/>
          <w:szCs w:val="21"/>
        </w:rPr>
        <w:t>需提供投标承诺函及采购代理服务费承诺函</w:t>
      </w:r>
      <w:r>
        <w:rPr>
          <w:rFonts w:hint="eastAsia" w:asciiTheme="minorEastAsia" w:hAnsiTheme="minorEastAsia"/>
        </w:rPr>
        <w:t>。</w:t>
      </w:r>
    </w:p>
    <w:bookmarkEnd w:id="12"/>
    <w:p>
      <w:pPr>
        <w:pStyle w:val="6"/>
        <w:spacing w:before="0" w:after="0" w:line="360" w:lineRule="auto"/>
        <w:rPr>
          <w:sz w:val="21"/>
        </w:rPr>
      </w:pPr>
      <w:r>
        <w:rPr>
          <w:rFonts w:hint="eastAsia"/>
          <w:sz w:val="21"/>
        </w:rPr>
        <w:t>3.5 资格审查资料</w:t>
      </w:r>
    </w:p>
    <w:p>
      <w:pPr>
        <w:spacing w:line="360" w:lineRule="auto"/>
        <w:ind w:firstLine="424" w:firstLineChars="202"/>
        <w:rPr>
          <w:rFonts w:asciiTheme="minorEastAsia" w:hAnsiTheme="minorEastAsia"/>
        </w:rPr>
      </w:pPr>
      <w:r>
        <w:rPr>
          <w:rFonts w:hint="eastAsia" w:asciiTheme="minorEastAsia" w:hAnsiTheme="minorEastAsia"/>
        </w:rPr>
        <w:t>除投标人须知前附表另有规定外，投标人应按规定提供资格审查资料，以证明其满足本章第1.4.1款要求。</w:t>
      </w:r>
    </w:p>
    <w:p>
      <w:pPr>
        <w:pStyle w:val="6"/>
        <w:spacing w:before="0" w:after="0" w:line="360" w:lineRule="auto"/>
        <w:rPr>
          <w:sz w:val="21"/>
        </w:rPr>
      </w:pPr>
      <w:r>
        <w:rPr>
          <w:rFonts w:hint="eastAsia"/>
          <w:sz w:val="21"/>
        </w:rPr>
        <w:t>3.6 备选投标方案</w:t>
      </w:r>
    </w:p>
    <w:p>
      <w:pPr>
        <w:spacing w:line="360" w:lineRule="auto"/>
        <w:ind w:firstLine="424" w:firstLineChars="202"/>
        <w:rPr>
          <w:rFonts w:asciiTheme="minorEastAsia" w:hAnsiTheme="minorEastAsia"/>
        </w:rPr>
      </w:pPr>
      <w:r>
        <w:rPr>
          <w:rFonts w:hint="eastAsia" w:asciiTheme="minorEastAsia" w:hAnsiTheme="minorEastAsia"/>
        </w:rPr>
        <w:t>除投标人须知前附表规定允许外，投标人不得递交备选投标方案，否则其投标将被否决。</w:t>
      </w:r>
    </w:p>
    <w:p>
      <w:pPr>
        <w:pStyle w:val="6"/>
        <w:spacing w:before="0" w:after="0" w:line="360" w:lineRule="auto"/>
        <w:rPr>
          <w:sz w:val="21"/>
        </w:rPr>
      </w:pPr>
      <w:r>
        <w:rPr>
          <w:rFonts w:hint="eastAsia"/>
          <w:sz w:val="21"/>
        </w:rPr>
        <w:t>3.7 投标文件的编制</w:t>
      </w:r>
    </w:p>
    <w:p>
      <w:pPr>
        <w:spacing w:line="360" w:lineRule="auto"/>
        <w:ind w:firstLine="424" w:firstLineChars="202"/>
        <w:rPr>
          <w:rFonts w:asciiTheme="minorEastAsia" w:hAnsiTheme="minorEastAsia"/>
        </w:rPr>
      </w:pPr>
      <w:r>
        <w:rPr>
          <w:rFonts w:hint="eastAsia" w:asciiTheme="minorEastAsia" w:hAnsiTheme="minorEastAsia"/>
        </w:rPr>
        <w:t>3.7.1 投标文件应按第五章“投标文件格式”进行编写，如有必要，可以增加附页，作为投标文件的组成部分。</w:t>
      </w:r>
    </w:p>
    <w:p>
      <w:pPr>
        <w:spacing w:line="360" w:lineRule="auto"/>
        <w:ind w:firstLine="424" w:firstLineChars="202"/>
        <w:rPr>
          <w:rFonts w:asciiTheme="minorEastAsia" w:hAnsiTheme="minorEastAsia"/>
        </w:rPr>
      </w:pPr>
      <w:r>
        <w:rPr>
          <w:rFonts w:hint="eastAsia" w:asciiTheme="minorEastAsia" w:hAnsiTheme="minorEastAsia"/>
        </w:rPr>
        <w:t>3.7.2 投标文件应当对招标文件交货期、投标有效期、招标范围等实质性内容作出响应。投标文件在满足招标文件实质性要求的基础上，可以提出比招标文件要求更有利于采购人的承诺。</w:t>
      </w:r>
    </w:p>
    <w:p>
      <w:pPr>
        <w:spacing w:line="360" w:lineRule="auto"/>
        <w:ind w:firstLine="424" w:firstLineChars="202"/>
        <w:rPr>
          <w:rFonts w:asciiTheme="minorEastAsia" w:hAnsiTheme="minorEastAsia"/>
        </w:rPr>
      </w:pPr>
      <w:r>
        <w:rPr>
          <w:rFonts w:hint="eastAsia" w:asciiTheme="minorEastAsia" w:hAnsiTheme="minorEastAsia"/>
        </w:rPr>
        <w:t>3.7.3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pStyle w:val="5"/>
        <w:spacing w:before="0" w:after="0" w:line="360" w:lineRule="auto"/>
        <w:rPr>
          <w:sz w:val="24"/>
        </w:rPr>
      </w:pPr>
      <w:bookmarkStart w:id="13" w:name="_Toc143350515"/>
      <w:r>
        <w:rPr>
          <w:rFonts w:hint="eastAsia"/>
          <w:sz w:val="24"/>
        </w:rPr>
        <w:t>4.  投标</w:t>
      </w:r>
      <w:bookmarkEnd w:id="13"/>
    </w:p>
    <w:p>
      <w:pPr>
        <w:pStyle w:val="6"/>
        <w:spacing w:before="0" w:after="0" w:line="360" w:lineRule="auto"/>
        <w:rPr>
          <w:sz w:val="21"/>
        </w:rPr>
      </w:pPr>
      <w:r>
        <w:rPr>
          <w:rFonts w:hint="eastAsia"/>
          <w:sz w:val="21"/>
        </w:rPr>
        <w:t>4.1 投标文件的加密和标记</w:t>
      </w:r>
    </w:p>
    <w:p>
      <w:pPr>
        <w:spacing w:line="360" w:lineRule="auto"/>
        <w:ind w:firstLine="424" w:firstLineChars="202"/>
        <w:rPr>
          <w:rFonts w:asciiTheme="minorEastAsia" w:hAnsiTheme="minorEastAsia"/>
        </w:rPr>
      </w:pPr>
      <w:r>
        <w:rPr>
          <w:rFonts w:hint="eastAsia" w:asciiTheme="minorEastAsia" w:hAnsiTheme="minorEastAsia"/>
        </w:rPr>
        <w:t>4.1.1投标人应当按照招标文件和电子招标投标交易平台的要求加密投标文件，具体要求见投标人须知前附表。</w:t>
      </w:r>
    </w:p>
    <w:p>
      <w:pPr>
        <w:spacing w:line="360" w:lineRule="auto"/>
        <w:ind w:firstLine="424" w:firstLineChars="202"/>
        <w:rPr>
          <w:rFonts w:asciiTheme="minorEastAsia" w:hAnsiTheme="minorEastAsia"/>
        </w:rPr>
      </w:pPr>
      <w:r>
        <w:rPr>
          <w:rFonts w:hint="eastAsia" w:asciiTheme="minorEastAsia" w:hAnsiTheme="minorEastAsia"/>
        </w:rPr>
        <w:t>4.1.2 未按本章第 4.1.1 项要求加密的投标文件，采购人将予以拒收。</w:t>
      </w:r>
    </w:p>
    <w:p>
      <w:pPr>
        <w:pStyle w:val="6"/>
        <w:spacing w:before="0" w:after="0" w:line="360" w:lineRule="auto"/>
        <w:rPr>
          <w:sz w:val="21"/>
        </w:rPr>
      </w:pPr>
      <w:r>
        <w:rPr>
          <w:rFonts w:hint="eastAsia"/>
          <w:sz w:val="21"/>
        </w:rPr>
        <w:t>4.2 投标文件的上传</w:t>
      </w:r>
    </w:p>
    <w:p>
      <w:pPr>
        <w:spacing w:line="360" w:lineRule="auto"/>
        <w:ind w:firstLine="424" w:firstLineChars="202"/>
        <w:rPr>
          <w:rFonts w:asciiTheme="minorEastAsia" w:hAnsiTheme="minorEastAsia"/>
        </w:rPr>
      </w:pPr>
      <w:r>
        <w:rPr>
          <w:rFonts w:hint="eastAsia" w:asciiTheme="minorEastAsia" w:hAnsiTheme="minorEastAsia"/>
        </w:rPr>
        <w:t>4.2.1 投标人应在投标人须知前附表规定的投标截止时间前上传投标文件。</w:t>
      </w:r>
    </w:p>
    <w:p>
      <w:pPr>
        <w:spacing w:line="360" w:lineRule="auto"/>
        <w:ind w:firstLine="424" w:firstLineChars="202"/>
        <w:rPr>
          <w:rFonts w:asciiTheme="minorEastAsia" w:hAnsiTheme="minorEastAsia"/>
        </w:rPr>
      </w:pPr>
      <w:r>
        <w:rPr>
          <w:rFonts w:hint="eastAsia" w:asciiTheme="minorEastAsia" w:hAnsiTheme="minorEastAsia"/>
        </w:rPr>
        <w:t>4.2.2投标人通过下载招标文件的电子招标投标交易平台上传电子投标文件。</w:t>
      </w:r>
    </w:p>
    <w:p>
      <w:pPr>
        <w:spacing w:line="360" w:lineRule="auto"/>
        <w:ind w:firstLine="424" w:firstLineChars="202"/>
        <w:rPr>
          <w:rFonts w:asciiTheme="minorEastAsia" w:hAnsiTheme="minorEastAsia"/>
        </w:rPr>
      </w:pPr>
      <w:r>
        <w:rPr>
          <w:rFonts w:hint="eastAsia" w:asciiTheme="minorEastAsia" w:hAnsiTheme="minorEastAsia"/>
        </w:rPr>
        <w:t>4.2.3 逾期上传的投标文件，电子招标投标交易平台将予以拒收。</w:t>
      </w:r>
    </w:p>
    <w:p>
      <w:pPr>
        <w:pStyle w:val="6"/>
        <w:spacing w:before="0" w:after="0" w:line="360" w:lineRule="auto"/>
        <w:rPr>
          <w:sz w:val="21"/>
        </w:rPr>
      </w:pPr>
      <w:r>
        <w:rPr>
          <w:rFonts w:hint="eastAsia"/>
          <w:sz w:val="21"/>
        </w:rPr>
        <w:t>4.3 投标文件的修改与撤回</w:t>
      </w:r>
    </w:p>
    <w:p>
      <w:pPr>
        <w:spacing w:line="360" w:lineRule="auto"/>
        <w:ind w:firstLine="424" w:firstLineChars="202"/>
        <w:rPr>
          <w:rFonts w:asciiTheme="minorEastAsia" w:hAnsiTheme="minorEastAsia"/>
        </w:rPr>
      </w:pPr>
      <w:r>
        <w:rPr>
          <w:rFonts w:hint="eastAsia" w:asciiTheme="minorEastAsia" w:hAnsiTheme="minorEastAsia"/>
        </w:rPr>
        <w:t>4.3.1 在本章第 4.2.1 项规定的投标截止时间前，投标人可以修改或撤回已上传的投标文件，但应在交易平台线上通知采购人。</w:t>
      </w:r>
    </w:p>
    <w:p>
      <w:pPr>
        <w:spacing w:line="360" w:lineRule="auto"/>
        <w:ind w:firstLine="424" w:firstLineChars="202"/>
        <w:rPr>
          <w:rFonts w:asciiTheme="minorEastAsia" w:hAnsiTheme="minorEastAsia"/>
        </w:rPr>
      </w:pPr>
      <w:r>
        <w:rPr>
          <w:rFonts w:hint="eastAsia" w:asciiTheme="minorEastAsia" w:hAnsiTheme="minorEastAsia"/>
        </w:rPr>
        <w:t>4.3.2投标人修改或撤回已递交投标文件的通知，应按照本章第 3.7.3项的要求加盖电子印章。</w:t>
      </w:r>
    </w:p>
    <w:p>
      <w:pPr>
        <w:spacing w:line="360" w:lineRule="auto"/>
        <w:ind w:firstLine="424" w:firstLineChars="202"/>
        <w:rPr>
          <w:rFonts w:asciiTheme="minorEastAsia" w:hAnsiTheme="minorEastAsia"/>
        </w:rPr>
      </w:pPr>
      <w:r>
        <w:rPr>
          <w:rFonts w:hint="eastAsia" w:asciiTheme="minorEastAsia" w:hAnsiTheme="minorEastAsia"/>
        </w:rPr>
        <w:t>4.3.3 修改的内容为投标文件的组成部分。修改的投标文件应按照本章第 3 条、第 4 条的规定进行编制、密封（加密）、标记和递交，并标明“修改”字样。</w:t>
      </w:r>
    </w:p>
    <w:p>
      <w:pPr>
        <w:pStyle w:val="5"/>
        <w:spacing w:before="0" w:after="0" w:line="360" w:lineRule="auto"/>
        <w:rPr>
          <w:sz w:val="24"/>
        </w:rPr>
      </w:pPr>
      <w:bookmarkStart w:id="14" w:name="_Toc143350516"/>
      <w:r>
        <w:rPr>
          <w:rFonts w:hint="eastAsia"/>
          <w:sz w:val="24"/>
        </w:rPr>
        <w:t>5. 开标</w:t>
      </w:r>
      <w:bookmarkEnd w:id="14"/>
    </w:p>
    <w:p>
      <w:pPr>
        <w:pStyle w:val="6"/>
        <w:spacing w:before="0" w:after="0" w:line="360" w:lineRule="auto"/>
        <w:rPr>
          <w:sz w:val="21"/>
        </w:rPr>
      </w:pPr>
      <w:r>
        <w:rPr>
          <w:rFonts w:hint="eastAsia"/>
          <w:sz w:val="21"/>
        </w:rPr>
        <w:t>5.1 开标时间</w:t>
      </w:r>
    </w:p>
    <w:p>
      <w:pPr>
        <w:spacing w:line="360" w:lineRule="auto"/>
        <w:ind w:firstLine="424" w:firstLineChars="202"/>
        <w:rPr>
          <w:rFonts w:asciiTheme="minorEastAsia" w:hAnsiTheme="minorEastAsia"/>
        </w:rPr>
      </w:pPr>
      <w:r>
        <w:rPr>
          <w:rFonts w:hint="eastAsia" w:asciiTheme="minorEastAsia" w:hAnsiTheme="minorEastAsia"/>
        </w:rPr>
        <w:t>采购人在本章第 4.2.1 项规定的投标截止时间（开标时间），通过电子招标投标交易平台公开开标，所有投标人的法定代表人（单位负责人）或其委托代理人应当准时参加开标。</w:t>
      </w:r>
    </w:p>
    <w:p>
      <w:pPr>
        <w:pStyle w:val="6"/>
        <w:spacing w:before="0" w:after="0" w:line="490" w:lineRule="exact"/>
        <w:rPr>
          <w:rFonts w:ascii="Times New Roman" w:hAnsi="Times New Roman" w:eastAsia="宋体"/>
          <w:sz w:val="21"/>
        </w:rPr>
      </w:pPr>
      <w:r>
        <w:rPr>
          <w:rFonts w:hint="eastAsia"/>
          <w:sz w:val="21"/>
        </w:rPr>
        <w:t xml:space="preserve">5.2 </w:t>
      </w:r>
      <w:r>
        <w:rPr>
          <w:rFonts w:hint="eastAsia" w:ascii="Times New Roman" w:hAnsi="Times New Roman" w:eastAsia="宋体"/>
          <w:sz w:val="21"/>
        </w:rPr>
        <w:t>远程开标</w:t>
      </w:r>
    </w:p>
    <w:p>
      <w:pPr>
        <w:spacing w:line="490" w:lineRule="exact"/>
        <w:ind w:firstLine="424" w:firstLineChars="202"/>
        <w:rPr>
          <w:rFonts w:ascii="Times New Roman" w:hAnsi="Times New Roman" w:eastAsia="宋体"/>
        </w:rPr>
      </w:pPr>
      <w:bookmarkStart w:id="15" w:name="_Hlk135040142"/>
      <w:r>
        <w:rPr>
          <w:rFonts w:hint="eastAsia" w:ascii="Times New Roman" w:hAnsi="Times New Roman" w:eastAsia="宋体"/>
        </w:rPr>
        <w:t>5.2.1供应商无需到郑州市交易中心现场参加开标会议，开标采用“远程不见面”开标方式，开标大厅的网址：</w:t>
      </w:r>
      <w:r>
        <w:rPr>
          <w:rFonts w:hint="eastAsia" w:ascii="Times New Roman" w:hAnsi="Times New Roman" w:eastAsia="宋体"/>
          <w:sz w:val="24"/>
        </w:rPr>
        <w:t>https://zzggzy.zhengzhou.gov.cn/BidOpening/</w:t>
      </w:r>
      <w:r>
        <w:rPr>
          <w:rFonts w:hint="eastAsia" w:ascii="Times New Roman" w:hAnsi="Times New Roman" w:eastAsia="宋体"/>
        </w:rPr>
        <w:t>。供应商须在招标文件确定的投标文件提交截止时间前，登录远程开标大厅，在线准时参加开标活动，并在规定的时间内进行文件解密、答疑澄清等。</w:t>
      </w:r>
    </w:p>
    <w:p>
      <w:pPr>
        <w:spacing w:line="490" w:lineRule="exact"/>
        <w:ind w:firstLine="424" w:firstLineChars="202"/>
        <w:rPr>
          <w:rFonts w:asciiTheme="minorEastAsia" w:hAnsiTheme="minorEastAsia"/>
        </w:rPr>
      </w:pPr>
      <w:r>
        <w:rPr>
          <w:rFonts w:hint="eastAsia" w:ascii="Times New Roman" w:hAnsi="Times New Roman" w:eastAsia="宋体"/>
        </w:rPr>
        <w:t>5.2.2因供应商加密电子响应文件未能成功上传或误传而导致的解密失败，投标将被拒绝。</w:t>
      </w:r>
      <w:bookmarkEnd w:id="15"/>
    </w:p>
    <w:p>
      <w:pPr>
        <w:pStyle w:val="6"/>
        <w:spacing w:before="0" w:after="0" w:line="360" w:lineRule="auto"/>
        <w:rPr>
          <w:sz w:val="21"/>
        </w:rPr>
      </w:pPr>
      <w:r>
        <w:rPr>
          <w:rFonts w:hint="eastAsia"/>
          <w:sz w:val="21"/>
        </w:rPr>
        <w:t>5.3 开标疑议</w:t>
      </w:r>
    </w:p>
    <w:p>
      <w:pPr>
        <w:spacing w:line="360" w:lineRule="auto"/>
        <w:ind w:firstLine="424" w:firstLineChars="202"/>
      </w:pPr>
      <w:r>
        <w:rPr>
          <w:rFonts w:hint="eastAsia"/>
        </w:rPr>
        <w:t>投标人代表对开标过程和开标记录有疑义，应当通过交易平台提出</w:t>
      </w:r>
      <w:r>
        <w:rPr>
          <w:rFonts w:hint="eastAsia" w:asciiTheme="minorEastAsia" w:hAnsiTheme="minorEastAsia"/>
        </w:rPr>
        <w:t>。</w:t>
      </w:r>
      <w:r>
        <w:rPr>
          <w:rFonts w:hint="eastAsia"/>
        </w:rPr>
        <w:t>投标人未参加开标的，视同认可开标结果。</w:t>
      </w:r>
    </w:p>
    <w:p>
      <w:pPr>
        <w:pStyle w:val="6"/>
        <w:spacing w:before="0" w:after="0"/>
        <w:rPr>
          <w:sz w:val="21"/>
        </w:rPr>
      </w:pPr>
      <w:r>
        <w:rPr>
          <w:rFonts w:hint="eastAsia"/>
          <w:sz w:val="21"/>
        </w:rPr>
        <w:t>5.4 资格审查</w:t>
      </w:r>
    </w:p>
    <w:p>
      <w:pPr>
        <w:spacing w:line="360" w:lineRule="auto"/>
        <w:rPr>
          <w:rFonts w:asciiTheme="minorEastAsia" w:hAnsiTheme="minorEastAsia"/>
        </w:rPr>
      </w:pPr>
      <w:r>
        <w:rPr>
          <w:rFonts w:hint="eastAsia" w:asciiTheme="minorEastAsia" w:hAnsiTheme="minorEastAsia"/>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rPr>
      </w:pPr>
      <w:r>
        <w:rPr>
          <w:rFonts w:hint="eastAsia" w:asciiTheme="minorEastAsia" w:hAnsiTheme="minorEastAsia"/>
        </w:rPr>
        <w:t>5.4.2资格审查内容及标准</w:t>
      </w:r>
    </w:p>
    <w:p>
      <w:pPr>
        <w:spacing w:line="360" w:lineRule="auto"/>
        <w:ind w:firstLine="420" w:firstLineChars="200"/>
        <w:rPr>
          <w:rFonts w:asciiTheme="minorEastAsia" w:hAnsiTheme="minorEastAsia"/>
        </w:rPr>
      </w:pPr>
      <w:r>
        <w:rPr>
          <w:rFonts w:hint="eastAsia" w:asciiTheme="minorEastAsia" w:hAnsiTheme="minorEastAsia"/>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rPr>
      </w:pPr>
      <w:r>
        <w:rPr>
          <w:rFonts w:hint="eastAsia" w:asciiTheme="minorEastAsia" w:hAnsiTheme="minorEastAsia"/>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rPr>
      </w:pPr>
      <w:r>
        <w:rPr>
          <w:rFonts w:hint="eastAsia" w:asciiTheme="minorEastAsia" w:hAnsiTheme="minorEastAsia"/>
        </w:rPr>
        <w:t xml:space="preserve">     5.4.3采购人或者采购代理机构对投标人的资格进行审查后，将书面记录资格审查结果并提交给评标委员会，未通过资格审查的投标人，不进入评标程序。合格投标人不足3家的，不得评标。</w:t>
      </w:r>
    </w:p>
    <w:p>
      <w:pPr>
        <w:pStyle w:val="5"/>
        <w:spacing w:before="0" w:after="0" w:line="360" w:lineRule="auto"/>
        <w:rPr>
          <w:sz w:val="28"/>
        </w:rPr>
      </w:pPr>
      <w:bookmarkStart w:id="16" w:name="_Toc143350517"/>
      <w:r>
        <w:rPr>
          <w:rFonts w:hint="eastAsia"/>
          <w:sz w:val="28"/>
        </w:rPr>
        <w:t>6.  评标</w:t>
      </w:r>
      <w:bookmarkEnd w:id="16"/>
    </w:p>
    <w:p>
      <w:pPr>
        <w:pStyle w:val="6"/>
        <w:spacing w:before="0" w:after="0" w:line="360" w:lineRule="auto"/>
        <w:rPr>
          <w:sz w:val="21"/>
        </w:rPr>
      </w:pPr>
      <w:r>
        <w:rPr>
          <w:rFonts w:hint="eastAsia"/>
          <w:sz w:val="21"/>
        </w:rPr>
        <w:t>6.1 评标委员会</w:t>
      </w:r>
    </w:p>
    <w:p>
      <w:pPr>
        <w:spacing w:line="360" w:lineRule="auto"/>
        <w:ind w:firstLine="424" w:firstLineChars="202"/>
        <w:rPr>
          <w:rFonts w:asciiTheme="minorEastAsia" w:hAnsiTheme="minorEastAsia"/>
        </w:rPr>
      </w:pPr>
      <w:r>
        <w:rPr>
          <w:rFonts w:hint="eastAsia" w:asciiTheme="minorEastAsia" w:hAnsiTheme="minorEastAsia"/>
        </w:rPr>
        <w:t>6.1.1评标由采购人依法组建的评标委员会负责。评标委员会由采购人，以及有关技术、经济等方面的专家组成。评标委员会成员人数以及技术、经济等方面专家的确定方式见投标人须知前附表。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rPr>
      </w:pPr>
      <w:r>
        <w:rPr>
          <w:rFonts w:hint="eastAsia" w:asciiTheme="minorEastAsia" w:hAnsiTheme="minorEastAsia"/>
        </w:rPr>
        <w:t>6.1.2 评标委员会成员有下列情形之一的，应当回避：</w:t>
      </w:r>
    </w:p>
    <w:p>
      <w:pPr>
        <w:spacing w:line="360" w:lineRule="auto"/>
        <w:ind w:firstLine="424" w:firstLineChars="202"/>
        <w:rPr>
          <w:rFonts w:asciiTheme="minorEastAsia" w:hAnsiTheme="minorEastAsia"/>
        </w:rPr>
      </w:pPr>
      <w:r>
        <w:rPr>
          <w:rFonts w:hint="eastAsia" w:asciiTheme="minorEastAsia" w:hAnsiTheme="minorEastAsia"/>
        </w:rPr>
        <w:t>（1）投标人或投标人主要负责人的近亲属；</w:t>
      </w:r>
    </w:p>
    <w:p>
      <w:pPr>
        <w:spacing w:line="360" w:lineRule="auto"/>
        <w:ind w:firstLine="424" w:firstLineChars="202"/>
        <w:rPr>
          <w:rFonts w:asciiTheme="minorEastAsia" w:hAnsiTheme="minorEastAsia"/>
        </w:rPr>
      </w:pPr>
      <w:r>
        <w:rPr>
          <w:rFonts w:hint="eastAsia" w:asciiTheme="minorEastAsia" w:hAnsiTheme="minorEastAsia"/>
        </w:rPr>
        <w:t>（2）项目主管部门或者行政监督部门的人员；</w:t>
      </w:r>
    </w:p>
    <w:p>
      <w:pPr>
        <w:spacing w:line="360" w:lineRule="auto"/>
        <w:ind w:firstLine="424" w:firstLineChars="202"/>
        <w:rPr>
          <w:rFonts w:asciiTheme="minorEastAsia" w:hAnsiTheme="minorEastAsia"/>
        </w:rPr>
      </w:pPr>
      <w:r>
        <w:rPr>
          <w:rFonts w:hint="eastAsia" w:asciiTheme="minorEastAsia" w:hAnsiTheme="minorEastAsia"/>
        </w:rPr>
        <w:t>（3）与投标人有经济利益关系，可能影响对投标公正评审的；</w:t>
      </w:r>
    </w:p>
    <w:p>
      <w:pPr>
        <w:spacing w:line="360" w:lineRule="auto"/>
        <w:ind w:firstLine="424" w:firstLineChars="202"/>
        <w:rPr>
          <w:rFonts w:asciiTheme="minorEastAsia" w:hAnsiTheme="minorEastAsia"/>
        </w:rPr>
      </w:pPr>
      <w:r>
        <w:rPr>
          <w:rFonts w:hint="eastAsia" w:asciiTheme="minorEastAsia" w:hAnsiTheme="minorEastAsia"/>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rPr>
      </w:pPr>
      <w:r>
        <w:rPr>
          <w:rFonts w:hint="eastAsia" w:asciiTheme="minorEastAsia" w:hAnsiTheme="minorEastAsia"/>
        </w:rPr>
        <w:t>（5）与投标人有其他利害关系。</w:t>
      </w:r>
    </w:p>
    <w:p>
      <w:pPr>
        <w:spacing w:line="360" w:lineRule="auto"/>
        <w:ind w:firstLine="424" w:firstLineChars="202"/>
        <w:rPr>
          <w:rFonts w:asciiTheme="minorEastAsia" w:hAnsiTheme="minorEastAsia"/>
        </w:rPr>
      </w:pPr>
      <w:r>
        <w:rPr>
          <w:rFonts w:hint="eastAsia" w:asciiTheme="minorEastAsia" w:hAnsiTheme="minorEastAsia"/>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6"/>
        <w:spacing w:before="0" w:after="0" w:line="360" w:lineRule="auto"/>
        <w:rPr>
          <w:sz w:val="21"/>
        </w:rPr>
      </w:pPr>
      <w:r>
        <w:rPr>
          <w:rFonts w:hint="eastAsia"/>
          <w:sz w:val="21"/>
        </w:rPr>
        <w:t>6.2 评标原则</w:t>
      </w:r>
    </w:p>
    <w:p>
      <w:pPr>
        <w:spacing w:line="360" w:lineRule="auto"/>
        <w:ind w:firstLine="424" w:firstLineChars="202"/>
        <w:rPr>
          <w:rFonts w:asciiTheme="minorEastAsia" w:hAnsiTheme="minorEastAsia"/>
        </w:rPr>
      </w:pPr>
      <w:r>
        <w:rPr>
          <w:rFonts w:hint="eastAsia" w:asciiTheme="minorEastAsia" w:hAnsiTheme="minorEastAsia"/>
        </w:rPr>
        <w:t>评标委员会应当按照客观、公正、审慎的原则，根据招标文件规定的评审程序、评审方法和评审标准进行独立评审。</w:t>
      </w:r>
    </w:p>
    <w:p>
      <w:pPr>
        <w:pStyle w:val="6"/>
        <w:spacing w:before="0" w:after="0" w:line="360" w:lineRule="auto"/>
        <w:rPr>
          <w:sz w:val="21"/>
        </w:rPr>
      </w:pPr>
      <w:r>
        <w:rPr>
          <w:rFonts w:hint="eastAsia"/>
          <w:sz w:val="21"/>
        </w:rPr>
        <w:t>6.3 评标</w:t>
      </w:r>
    </w:p>
    <w:p>
      <w:pPr>
        <w:spacing w:line="360" w:lineRule="auto"/>
        <w:ind w:firstLine="424" w:firstLineChars="202"/>
        <w:rPr>
          <w:rFonts w:asciiTheme="minorEastAsia" w:hAnsiTheme="minorEastAsia"/>
        </w:rPr>
      </w:pPr>
      <w:r>
        <w:rPr>
          <w:rFonts w:hint="eastAsia" w:asciiTheme="minorEastAsia" w:hAnsiTheme="minorEastAsia"/>
        </w:rPr>
        <w:t>6.3.1 评标委员会按照第三章“评标方法和标准”规定的方法、评审因素、标准和程序对投标文件进行评审。第三章“</w:t>
      </w:r>
      <w:bookmarkStart w:id="17" w:name="_Hlk66356190"/>
      <w:r>
        <w:rPr>
          <w:rFonts w:hint="eastAsia" w:asciiTheme="minorEastAsia" w:hAnsiTheme="minorEastAsia"/>
        </w:rPr>
        <w:t>评标方法和标准</w:t>
      </w:r>
      <w:bookmarkEnd w:id="17"/>
      <w:r>
        <w:rPr>
          <w:rFonts w:hint="eastAsia" w:asciiTheme="minorEastAsia" w:hAnsiTheme="minorEastAsia"/>
        </w:rPr>
        <w:t>”没有规定的方法、评审因素和标准，不作为评审依据。</w:t>
      </w:r>
    </w:p>
    <w:p>
      <w:pPr>
        <w:spacing w:line="360" w:lineRule="auto"/>
        <w:ind w:firstLine="424" w:firstLineChars="202"/>
        <w:rPr>
          <w:rFonts w:asciiTheme="minorEastAsia" w:hAnsiTheme="minorEastAsia"/>
        </w:rPr>
      </w:pPr>
      <w:r>
        <w:rPr>
          <w:rFonts w:hint="eastAsia" w:asciiTheme="minorEastAsia" w:hAnsiTheme="minorEastAsia"/>
        </w:rPr>
        <w:t>6.3.2 符合性审查</w:t>
      </w:r>
    </w:p>
    <w:p>
      <w:pPr>
        <w:spacing w:line="360" w:lineRule="auto"/>
        <w:ind w:firstLine="424" w:firstLineChars="202"/>
        <w:rPr>
          <w:rFonts w:asciiTheme="minorEastAsia" w:hAnsiTheme="minorEastAsia"/>
        </w:rPr>
      </w:pPr>
      <w:r>
        <w:rPr>
          <w:rFonts w:hint="eastAsia"/>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rPr>
      </w:pPr>
      <w:r>
        <w:rPr>
          <w:rFonts w:hint="eastAsia" w:asciiTheme="minorEastAsia" w:hAnsiTheme="minorEastAsia"/>
        </w:rPr>
        <w:t>6.3.3投标文件的澄清</w:t>
      </w:r>
    </w:p>
    <w:p>
      <w:pPr>
        <w:spacing w:line="360" w:lineRule="auto"/>
        <w:ind w:firstLine="424" w:firstLineChars="202"/>
        <w:rPr>
          <w:rFonts w:asciiTheme="minorEastAsia" w:hAnsiTheme="minorEastAsia"/>
        </w:rPr>
      </w:pPr>
      <w:r>
        <w:rPr>
          <w:rFonts w:hint="eastAsia" w:asciiTheme="minorEastAsia" w:hAnsiTheme="minorEastAsia"/>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宋体" w:hAnsi="宋体"/>
        </w:rPr>
      </w:pPr>
      <w:r>
        <w:rPr>
          <w:rFonts w:hint="eastAsia" w:asciiTheme="minorEastAsia" w:hAnsiTheme="minorEastAsia"/>
        </w:rPr>
        <w:t xml:space="preserve">6.3.4 </w:t>
      </w:r>
      <w:r>
        <w:rPr>
          <w:rFonts w:hint="eastAsia" w:ascii="宋体" w:hAnsi="宋体"/>
        </w:rPr>
        <w:t>一个分包（标段）内包含多种产品的，采购人或采购代理机构将在投标须知前附表中载明核心产品。投标人提供的核心产品中若有一个核心产品的品牌相同，相关投标人将被认定为属于提供相同品牌产品。</w:t>
      </w:r>
    </w:p>
    <w:p>
      <w:pPr>
        <w:spacing w:line="360" w:lineRule="auto"/>
        <w:ind w:firstLine="420" w:firstLineChars="200"/>
        <w:rPr>
          <w:rFonts w:ascii="宋体" w:hAnsi="宋体"/>
        </w:rPr>
      </w:pPr>
      <w:r>
        <w:rPr>
          <w:rFonts w:hint="eastAsia" w:ascii="宋体" w:hAnsi="宋体"/>
        </w:rPr>
        <w:t>提供相同品牌产品且通过资格审查、符合性审查的不同投标人，按一家投标人计算，评审后得分最高的同品牌投标人获得中标投标人推荐资格；评审得分相同的，由采购人或者采购人委托评标委员会按照招标文件中评标方法和标准规定的方式确定一个投标人获得中标投标人推荐资格；未规定的采取随机抽取方式确定，其他同品牌投标人不作为中标候选人。</w:t>
      </w:r>
    </w:p>
    <w:p>
      <w:pPr>
        <w:spacing w:line="360" w:lineRule="auto"/>
        <w:ind w:firstLine="424" w:firstLineChars="202"/>
        <w:rPr>
          <w:rFonts w:asciiTheme="minorEastAsia" w:hAnsiTheme="minorEastAsia"/>
        </w:rPr>
      </w:pPr>
      <w:r>
        <w:rPr>
          <w:rFonts w:hint="eastAsia" w:asciiTheme="minorEastAsia" w:hAnsiTheme="minorEastAsia"/>
        </w:rPr>
        <w:t>6.3.5 评标完成后，评标委员会应当向采购人提交书面评标报告和中标候选人名单。评标委员会推荐中标候选人数量见投标人须知前附表。</w:t>
      </w:r>
    </w:p>
    <w:p>
      <w:pPr>
        <w:pStyle w:val="6"/>
        <w:spacing w:before="0" w:after="0"/>
        <w:rPr>
          <w:sz w:val="21"/>
        </w:rPr>
      </w:pPr>
      <w:r>
        <w:rPr>
          <w:rFonts w:hint="eastAsia"/>
          <w:sz w:val="21"/>
        </w:rPr>
        <w:t>6.4 投标无效</w:t>
      </w:r>
    </w:p>
    <w:p>
      <w:pPr>
        <w:spacing w:line="360" w:lineRule="auto"/>
        <w:ind w:firstLine="315" w:firstLineChars="150"/>
      </w:pPr>
      <w:r>
        <w:rPr>
          <w:rFonts w:hint="eastAsia"/>
        </w:rPr>
        <w:t>如发现下列情况之一的，其投标将被认定为投标无效：</w:t>
      </w:r>
    </w:p>
    <w:p>
      <w:pPr>
        <w:numPr>
          <w:ilvl w:val="0"/>
          <w:numId w:val="3"/>
        </w:numPr>
        <w:spacing w:line="360" w:lineRule="auto"/>
      </w:pPr>
      <w:r>
        <w:rPr>
          <w:rFonts w:hint="eastAsia"/>
        </w:rPr>
        <w:t>投标文件未按照招标文件规定要求签署、盖章的；</w:t>
      </w:r>
    </w:p>
    <w:p>
      <w:pPr>
        <w:numPr>
          <w:ilvl w:val="0"/>
          <w:numId w:val="3"/>
        </w:numPr>
        <w:spacing w:line="360" w:lineRule="auto"/>
      </w:pPr>
      <w:r>
        <w:rPr>
          <w:rFonts w:hint="eastAsia"/>
        </w:rPr>
        <w:t>不具备招标文件中规定的资格要求的；</w:t>
      </w:r>
    </w:p>
    <w:p>
      <w:pPr>
        <w:numPr>
          <w:ilvl w:val="0"/>
          <w:numId w:val="3"/>
        </w:numPr>
        <w:spacing w:line="360" w:lineRule="auto"/>
      </w:pPr>
      <w:r>
        <w:rPr>
          <w:rFonts w:hint="eastAsia"/>
        </w:rPr>
        <w:t>报价超过招标文件中规定的预算金额或者最高限价的；</w:t>
      </w:r>
    </w:p>
    <w:p>
      <w:pPr>
        <w:numPr>
          <w:ilvl w:val="0"/>
          <w:numId w:val="3"/>
        </w:numPr>
        <w:spacing w:line="360" w:lineRule="auto"/>
      </w:pPr>
      <w:r>
        <w:rPr>
          <w:rFonts w:hint="eastAsia"/>
        </w:rPr>
        <w:t>投标文件含有采购人不能接受的附加条件的；</w:t>
      </w:r>
    </w:p>
    <w:p>
      <w:pPr>
        <w:numPr>
          <w:ilvl w:val="0"/>
          <w:numId w:val="3"/>
        </w:numPr>
        <w:spacing w:line="360" w:lineRule="auto"/>
      </w:pPr>
      <w:r>
        <w:rPr>
          <w:rFonts w:hint="eastAsia"/>
        </w:rPr>
        <w:t>属于串通投标，或者依法被视为串通投标；</w:t>
      </w:r>
    </w:p>
    <w:p>
      <w:pPr>
        <w:numPr>
          <w:ilvl w:val="0"/>
          <w:numId w:val="3"/>
        </w:numPr>
        <w:spacing w:line="360" w:lineRule="auto"/>
      </w:pPr>
      <w:r>
        <w:rPr>
          <w:rFonts w:hint="eastAsia"/>
        </w:rPr>
        <w:t>评标委员会认为投标人的报价明显低于其他通过符合性审查投标人的报价，有可能影响履约的，且投标人未按照规定证明其报价合理性的；</w:t>
      </w:r>
    </w:p>
    <w:p>
      <w:pPr>
        <w:numPr>
          <w:ilvl w:val="0"/>
          <w:numId w:val="3"/>
        </w:numPr>
        <w:spacing w:line="360" w:lineRule="auto"/>
      </w:pPr>
      <w:r>
        <w:rPr>
          <w:rFonts w:hint="eastAsia"/>
        </w:rPr>
        <w:t>投标文件制作机器码与其他投标人的投标文件制作机器码一致；</w:t>
      </w:r>
    </w:p>
    <w:p>
      <w:pPr>
        <w:numPr>
          <w:ilvl w:val="0"/>
          <w:numId w:val="3"/>
        </w:numPr>
        <w:spacing w:line="360" w:lineRule="auto"/>
      </w:pPr>
      <w:r>
        <w:rPr>
          <w:rFonts w:hint="eastAsia"/>
        </w:rPr>
        <w:t>法律、法规和招标文件规定的其他无效情形。</w:t>
      </w:r>
    </w:p>
    <w:p>
      <w:pPr>
        <w:pStyle w:val="5"/>
        <w:spacing w:before="0" w:after="0" w:line="360" w:lineRule="auto"/>
        <w:rPr>
          <w:sz w:val="24"/>
        </w:rPr>
      </w:pPr>
      <w:bookmarkStart w:id="18" w:name="_Toc143350518"/>
      <w:r>
        <w:rPr>
          <w:rFonts w:hint="eastAsia"/>
          <w:sz w:val="24"/>
        </w:rPr>
        <w:t>7.  合同授予</w:t>
      </w:r>
      <w:bookmarkEnd w:id="18"/>
      <w:r>
        <w:rPr>
          <w:rFonts w:hint="eastAsia"/>
          <w:sz w:val="24"/>
        </w:rPr>
        <w:t xml:space="preserve">                                                  </w:t>
      </w:r>
    </w:p>
    <w:p>
      <w:pPr>
        <w:pStyle w:val="5"/>
        <w:spacing w:before="0" w:after="0" w:line="360" w:lineRule="auto"/>
        <w:rPr>
          <w:sz w:val="24"/>
        </w:rPr>
      </w:pPr>
      <w:bookmarkStart w:id="19" w:name="_Toc143350519"/>
      <w:r>
        <w:rPr>
          <w:rFonts w:hint="eastAsia"/>
          <w:sz w:val="24"/>
        </w:rPr>
        <w:t>7.1 中标公告</w:t>
      </w:r>
      <w:bookmarkEnd w:id="19"/>
    </w:p>
    <w:p>
      <w:pPr>
        <w:spacing w:line="360" w:lineRule="auto"/>
        <w:ind w:firstLine="424" w:firstLineChars="202"/>
        <w:rPr>
          <w:rFonts w:asciiTheme="minorEastAsia" w:hAnsiTheme="minorEastAsia"/>
        </w:rPr>
      </w:pPr>
      <w:r>
        <w:rPr>
          <w:rFonts w:hint="eastAsia" w:asciiTheme="minorEastAsia" w:hAnsiTheme="minorEastAsia"/>
        </w:rPr>
        <w:t>7</w:t>
      </w:r>
      <w:r>
        <w:rPr>
          <w:rFonts w:asciiTheme="minorEastAsia" w:hAnsiTheme="minorEastAsia"/>
        </w:rPr>
        <w:t>.1.1</w:t>
      </w:r>
      <w:r>
        <w:rPr>
          <w:rFonts w:hint="eastAsia" w:asciiTheme="minorEastAsia" w:hAnsiTheme="minorEastAsia"/>
        </w:rPr>
        <w:t>采购人应当自收到评标报告之日起 5 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方式确定。</w:t>
      </w:r>
    </w:p>
    <w:p>
      <w:pPr>
        <w:spacing w:line="360" w:lineRule="auto"/>
        <w:ind w:firstLine="424" w:firstLineChars="202"/>
        <w:rPr>
          <w:rFonts w:asciiTheme="minorEastAsia" w:hAnsiTheme="minorEastAsia"/>
        </w:rPr>
      </w:pPr>
      <w:r>
        <w:rPr>
          <w:rFonts w:hint="eastAsia" w:asciiTheme="minorEastAsia" w:hAnsiTheme="minorEastAsia"/>
        </w:rPr>
        <w:t xml:space="preserve">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asciiTheme="minorEastAsia" w:hAnsiTheme="minorEastAsia"/>
        </w:rPr>
      </w:pPr>
      <w:r>
        <w:rPr>
          <w:rFonts w:hint="eastAsia" w:asciiTheme="minorEastAsia" w:hAnsiTheme="minorEastAsia"/>
        </w:rPr>
        <w:t>7</w:t>
      </w:r>
      <w:r>
        <w:rPr>
          <w:rFonts w:asciiTheme="minorEastAsia" w:hAnsiTheme="minorEastAsia"/>
        </w:rPr>
        <w:t>.1.2</w:t>
      </w:r>
      <w:r>
        <w:rPr>
          <w:rFonts w:hint="eastAsia" w:asciiTheme="minorEastAsia" w:hAnsiTheme="minorEastAsia"/>
        </w:rPr>
        <w:t>采购代理机构自中标人确定之日起2个工作日内，在《河南省政府采购网》《中原区政府采购网》《郑州市公共资源交易中心网》公告中标结果，招标文件随中标结果同时公告。中标公告期限为1个工作日。</w:t>
      </w:r>
    </w:p>
    <w:p>
      <w:pPr>
        <w:pStyle w:val="6"/>
        <w:spacing w:before="0" w:after="0" w:line="360" w:lineRule="auto"/>
        <w:rPr>
          <w:sz w:val="21"/>
        </w:rPr>
      </w:pPr>
      <w:r>
        <w:rPr>
          <w:rFonts w:hint="eastAsia"/>
          <w:sz w:val="21"/>
        </w:rPr>
        <w:t>7.2 质疑与投诉</w:t>
      </w:r>
    </w:p>
    <w:p>
      <w:pPr>
        <w:spacing w:line="360" w:lineRule="auto"/>
        <w:ind w:firstLine="424" w:firstLineChars="202"/>
        <w:rPr>
          <w:rFonts w:asciiTheme="minorEastAsia" w:hAnsiTheme="minorEastAsia"/>
        </w:rPr>
      </w:pPr>
      <w:r>
        <w:rPr>
          <w:rFonts w:hint="eastAsia" w:asciiTheme="minorEastAsia" w:hAnsiTheme="minorEastAsia"/>
        </w:rPr>
        <w:t>7.2.1投标人认为招标文件、采购过程和中标、成交结果使自己的权益受到损害的，可以在知道或者应知其权益受到损害之日起七个工作日内，以书面形式向采购代理机构提出质疑。（格式见本章附件1）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rPr>
      </w:pPr>
      <w:r>
        <w:rPr>
          <w:rFonts w:hint="eastAsia" w:asciiTheme="minorEastAsia" w:hAnsiTheme="minorEastAsia"/>
        </w:rPr>
        <w:t>7.2.2投标人应知其权益受到损害之日，是指：</w:t>
      </w:r>
    </w:p>
    <w:p>
      <w:pPr>
        <w:spacing w:line="360" w:lineRule="auto"/>
        <w:ind w:firstLine="424" w:firstLineChars="202"/>
        <w:rPr>
          <w:rFonts w:asciiTheme="minorEastAsia" w:hAnsiTheme="minorEastAsia"/>
        </w:rPr>
      </w:pPr>
      <w:r>
        <w:rPr>
          <w:rFonts w:hint="eastAsia" w:asciiTheme="minorEastAsia" w:hAnsiTheme="minorEastAsia"/>
        </w:rPr>
        <w:t>（1）对可以质疑的招标文件提出质疑的，为收到采购文件之日或者采购文件公告期限届满之日；</w:t>
      </w:r>
    </w:p>
    <w:p>
      <w:pPr>
        <w:spacing w:line="360" w:lineRule="auto"/>
        <w:ind w:firstLine="424" w:firstLineChars="202"/>
        <w:rPr>
          <w:rFonts w:asciiTheme="minorEastAsia" w:hAnsiTheme="minorEastAsia"/>
        </w:rPr>
      </w:pPr>
      <w:r>
        <w:rPr>
          <w:rFonts w:hint="eastAsia" w:asciiTheme="minorEastAsia" w:hAnsiTheme="minorEastAsia"/>
        </w:rPr>
        <w:t>（2）对采购过程提出质疑的，为各采购程序环节结束之日；</w:t>
      </w:r>
    </w:p>
    <w:p>
      <w:pPr>
        <w:spacing w:line="360" w:lineRule="auto"/>
        <w:ind w:firstLine="424" w:firstLineChars="202"/>
        <w:rPr>
          <w:rFonts w:asciiTheme="minorEastAsia" w:hAnsiTheme="minorEastAsia"/>
        </w:rPr>
      </w:pPr>
      <w:r>
        <w:rPr>
          <w:rFonts w:hint="eastAsia" w:asciiTheme="minorEastAsia" w:hAnsiTheme="minorEastAsia"/>
        </w:rPr>
        <w:t>（3）对中标或者成交结果提出质疑的，为中标或者成交结果公告期限届满之日。</w:t>
      </w:r>
    </w:p>
    <w:p>
      <w:pPr>
        <w:spacing w:line="360" w:lineRule="auto"/>
        <w:ind w:firstLine="424" w:firstLineChars="202"/>
        <w:rPr>
          <w:rFonts w:asciiTheme="minorEastAsia" w:hAnsiTheme="minorEastAsia"/>
        </w:rPr>
      </w:pPr>
      <w:r>
        <w:rPr>
          <w:rFonts w:hint="eastAsia" w:asciiTheme="minorEastAsia" w:hAnsiTheme="minorEastAsia"/>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rPr>
      </w:pPr>
      <w:r>
        <w:rPr>
          <w:rFonts w:hint="eastAsia" w:asciiTheme="minorEastAsia" w:hAnsiTheme="minorEastAsia"/>
        </w:rPr>
        <w:t>7.2.4超出法定质疑期提交的质疑将被拒绝。重复或分次提出的、内容或形式不符合《政府采购质疑和投诉办法》的，质疑投标人将依法承担不利后果。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rPr>
      </w:pPr>
      <w:r>
        <w:rPr>
          <w:rFonts w:hint="eastAsia" w:asciiTheme="minorEastAsia" w:hAnsiTheme="minorEastAsia"/>
        </w:rPr>
        <w:t>7.2.5质疑函接收部门、联系电话和通讯地址，见投标须知前附表。</w:t>
      </w:r>
    </w:p>
    <w:p>
      <w:pPr>
        <w:spacing w:line="360" w:lineRule="auto"/>
        <w:ind w:firstLine="424" w:firstLineChars="202"/>
        <w:rPr>
          <w:rFonts w:asciiTheme="minorEastAsia" w:hAnsiTheme="minorEastAsia"/>
        </w:rPr>
      </w:pPr>
      <w:r>
        <w:rPr>
          <w:rFonts w:hint="eastAsia" w:asciiTheme="minorEastAsia" w:hAnsiTheme="minorEastAsia"/>
        </w:rPr>
        <w:t>7.2.6采购人或采购代理机构在收到投标人的书面质疑后七个工作日内作出答复，并以书面形式通知质疑投标人和其他有关投标人，答复内容不涉及商业秘密。</w:t>
      </w:r>
    </w:p>
    <w:p>
      <w:pPr>
        <w:pStyle w:val="6"/>
        <w:spacing w:before="0" w:after="0" w:line="360" w:lineRule="auto"/>
        <w:rPr>
          <w:sz w:val="21"/>
        </w:rPr>
      </w:pPr>
      <w:r>
        <w:rPr>
          <w:rFonts w:hint="eastAsia"/>
          <w:sz w:val="21"/>
        </w:rPr>
        <w:t>7.3 中标通知书</w:t>
      </w:r>
    </w:p>
    <w:p>
      <w:pPr>
        <w:spacing w:line="360" w:lineRule="auto"/>
        <w:ind w:firstLine="424" w:firstLineChars="202"/>
        <w:rPr>
          <w:rFonts w:asciiTheme="minorEastAsia" w:hAnsiTheme="minorEastAsia"/>
        </w:rPr>
      </w:pPr>
      <w:r>
        <w:rPr>
          <w:rFonts w:hint="eastAsia" w:asciiTheme="minorEastAsia" w:hAnsiTheme="minorEastAsia"/>
        </w:rPr>
        <w:t>中标通知书发出后，采购人不得违法改变中标结果，中标人无正当理由不得放弃中标。</w:t>
      </w:r>
    </w:p>
    <w:p>
      <w:pPr>
        <w:pStyle w:val="6"/>
        <w:spacing w:before="0" w:after="0" w:line="360" w:lineRule="auto"/>
        <w:rPr>
          <w:sz w:val="21"/>
        </w:rPr>
      </w:pPr>
      <w:r>
        <w:rPr>
          <w:rFonts w:hint="eastAsia"/>
          <w:sz w:val="21"/>
        </w:rPr>
        <w:t>7.4 签订合同</w:t>
      </w:r>
    </w:p>
    <w:p>
      <w:pPr>
        <w:spacing w:line="360" w:lineRule="auto"/>
        <w:ind w:firstLine="424" w:firstLineChars="202"/>
        <w:rPr>
          <w:rFonts w:asciiTheme="minorEastAsia" w:hAnsiTheme="minorEastAsia"/>
        </w:rPr>
      </w:pPr>
      <w:r>
        <w:rPr>
          <w:rFonts w:hint="eastAsia" w:asciiTheme="minorEastAsia" w:hAnsiTheme="minorEastAsia"/>
        </w:rPr>
        <w:t>7.4.1采购人和中标人应当在中标通知书发出之日起2个工作日内，根据招标文件和中标人的投标文件订立书面合同。</w:t>
      </w:r>
    </w:p>
    <w:p>
      <w:pPr>
        <w:spacing w:line="360" w:lineRule="auto"/>
        <w:ind w:firstLine="424" w:firstLineChars="202"/>
        <w:rPr>
          <w:rFonts w:asciiTheme="minorEastAsia" w:hAnsiTheme="minorEastAsia"/>
        </w:rPr>
      </w:pPr>
      <w:r>
        <w:rPr>
          <w:rFonts w:hint="eastAsia" w:asciiTheme="minorEastAsia" w:hAnsiTheme="minorEastAsia"/>
        </w:rPr>
        <w:t>7.4.2中标人无正当理由拒签合同、在签订合同时向采购人提出附加条件的，采购人有权取消其中标资格，中标投标人须按投标保证承诺书内容向采购人和采购代理机构支付赔偿；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rPr>
      </w:pPr>
      <w:r>
        <w:rPr>
          <w:rFonts w:hint="eastAsia" w:asciiTheme="minorEastAsia" w:hAnsiTheme="minorEastAsia"/>
        </w:rPr>
        <w:t>7.4.3采购人不得向中标人提出任何不合理的要求作为签订合同的条件。</w:t>
      </w:r>
    </w:p>
    <w:p>
      <w:pPr>
        <w:pStyle w:val="5"/>
        <w:spacing w:before="0" w:after="0" w:line="360" w:lineRule="auto"/>
        <w:rPr>
          <w:sz w:val="24"/>
        </w:rPr>
      </w:pPr>
      <w:bookmarkStart w:id="20" w:name="_Toc143350520"/>
      <w:r>
        <w:rPr>
          <w:rFonts w:hint="eastAsia"/>
          <w:sz w:val="24"/>
        </w:rPr>
        <w:t>8.  纪律和监督</w:t>
      </w:r>
      <w:bookmarkEnd w:id="20"/>
    </w:p>
    <w:p>
      <w:pPr>
        <w:pStyle w:val="6"/>
        <w:spacing w:before="0" w:after="0" w:line="360" w:lineRule="auto"/>
        <w:rPr>
          <w:sz w:val="21"/>
        </w:rPr>
      </w:pPr>
      <w:r>
        <w:rPr>
          <w:rFonts w:hint="eastAsia"/>
          <w:sz w:val="21"/>
        </w:rPr>
        <w:t>8.1 对采购人的纪律要求</w:t>
      </w:r>
    </w:p>
    <w:p>
      <w:pPr>
        <w:spacing w:line="360" w:lineRule="auto"/>
        <w:ind w:firstLine="424" w:firstLineChars="202"/>
        <w:rPr>
          <w:rFonts w:asciiTheme="minorEastAsia" w:hAnsiTheme="minorEastAsia"/>
        </w:rPr>
      </w:pPr>
      <w:r>
        <w:rPr>
          <w:rFonts w:hint="eastAsia" w:asciiTheme="minorEastAsia" w:hAnsiTheme="minorEastAsia"/>
        </w:rPr>
        <w:t>采购人不得泄露招标投标活动中应当保密的情况和资料，不得与投标人串通损害国家利益、社会公共利益或者他人合法权益。</w:t>
      </w:r>
    </w:p>
    <w:p>
      <w:pPr>
        <w:pStyle w:val="6"/>
        <w:spacing w:before="0" w:after="0" w:line="360" w:lineRule="auto"/>
        <w:rPr>
          <w:sz w:val="21"/>
        </w:rPr>
      </w:pPr>
      <w:r>
        <w:rPr>
          <w:rFonts w:hint="eastAsia"/>
          <w:sz w:val="21"/>
        </w:rPr>
        <w:t>8.2 对投标人的纪律要求</w:t>
      </w:r>
    </w:p>
    <w:p>
      <w:pPr>
        <w:spacing w:line="360" w:lineRule="auto"/>
        <w:ind w:firstLine="424" w:firstLineChars="202"/>
        <w:rPr>
          <w:rFonts w:asciiTheme="minorEastAsia" w:hAnsiTheme="minorEastAsia"/>
        </w:rPr>
      </w:pPr>
      <w:r>
        <w:rPr>
          <w:rFonts w:hint="eastAsia" w:asciiTheme="minorEastAsia" w:hAnsiTheme="minor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6"/>
        <w:spacing w:before="0" w:after="0" w:line="360" w:lineRule="auto"/>
        <w:rPr>
          <w:sz w:val="21"/>
        </w:rPr>
      </w:pPr>
      <w:r>
        <w:rPr>
          <w:rFonts w:hint="eastAsia"/>
          <w:sz w:val="21"/>
        </w:rPr>
        <w:t>8.3 对评标委员会成员的纪律要求</w:t>
      </w:r>
    </w:p>
    <w:p>
      <w:pPr>
        <w:spacing w:line="360" w:lineRule="auto"/>
        <w:ind w:firstLine="424" w:firstLineChars="202"/>
        <w:rPr>
          <w:rFonts w:asciiTheme="minorEastAsia" w:hAnsiTheme="minorEastAsia"/>
        </w:rPr>
      </w:pPr>
      <w:r>
        <w:rPr>
          <w:rFonts w:hint="eastAsia" w:asciiTheme="minorEastAsia" w:hAnsiTheme="minorEastAsia"/>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方法和标准”没有规定的评审因素和标准进行评标。</w:t>
      </w:r>
    </w:p>
    <w:p>
      <w:pPr>
        <w:pStyle w:val="6"/>
        <w:spacing w:before="0" w:after="0" w:line="360" w:lineRule="auto"/>
        <w:rPr>
          <w:sz w:val="21"/>
        </w:rPr>
      </w:pPr>
      <w:r>
        <w:rPr>
          <w:rFonts w:hint="eastAsia"/>
          <w:sz w:val="21"/>
        </w:rPr>
        <w:t>8.4 对与评标活动有关的工作人员的纪律要求</w:t>
      </w:r>
    </w:p>
    <w:p>
      <w:pPr>
        <w:spacing w:line="360" w:lineRule="auto"/>
        <w:ind w:firstLine="424" w:firstLineChars="202"/>
        <w:rPr>
          <w:rFonts w:asciiTheme="minorEastAsia" w:hAnsiTheme="minorEastAsia"/>
        </w:rPr>
      </w:pPr>
      <w:r>
        <w:rPr>
          <w:rFonts w:hint="eastAsia" w:asciiTheme="minorEastAsia" w:hAnsiTheme="minorEastAsia"/>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5"/>
        <w:spacing w:before="0" w:after="0" w:line="360" w:lineRule="auto"/>
        <w:rPr>
          <w:sz w:val="24"/>
        </w:rPr>
      </w:pPr>
      <w:bookmarkStart w:id="21" w:name="_Toc143350521"/>
      <w:r>
        <w:rPr>
          <w:rFonts w:hint="eastAsia"/>
          <w:sz w:val="24"/>
        </w:rPr>
        <w:t>9. 需要补充的其他内容</w:t>
      </w:r>
      <w:bookmarkEnd w:id="21"/>
    </w:p>
    <w:p>
      <w:pPr>
        <w:spacing w:line="360" w:lineRule="auto"/>
        <w:ind w:firstLine="424" w:firstLineChars="202"/>
        <w:rPr>
          <w:rFonts w:asciiTheme="minorEastAsia" w:hAnsiTheme="minorEastAsia"/>
        </w:rPr>
      </w:pPr>
      <w:r>
        <w:rPr>
          <w:rFonts w:hint="eastAsia" w:asciiTheme="minorEastAsia" w:hAnsiTheme="minorEastAsia"/>
        </w:rPr>
        <w:t>需要补充的其他内容：见投标人须知前附表。</w:t>
      </w:r>
    </w:p>
    <w:p>
      <w:pPr>
        <w:pStyle w:val="5"/>
        <w:spacing w:before="0" w:after="0"/>
        <w:rPr>
          <w:sz w:val="24"/>
        </w:rPr>
      </w:pPr>
      <w:bookmarkStart w:id="22" w:name="_Toc143350522"/>
      <w:r>
        <w:rPr>
          <w:rFonts w:hint="eastAsia"/>
          <w:sz w:val="24"/>
        </w:rPr>
        <w:t>附件：质疑函格式（统一格式，需提供原件）</w:t>
      </w:r>
      <w:bookmarkEnd w:id="22"/>
    </w:p>
    <w:p>
      <w:pPr>
        <w:pStyle w:val="46"/>
        <w:jc w:val="center"/>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质 疑 函</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一、质疑投标人基本信息</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质疑投标人：</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联系人：联系电话：</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授权代表：</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联系电话：</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二、质疑项目基本信息</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质疑项目的名称：</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质疑项目的编号：</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包号：</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采购人名称：</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采购文件获取日期：</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三、质疑事项具体内容</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1</w:t>
      </w: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事实依据：</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法律依据：</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2</w:t>
      </w: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四、与质疑事项相关的质疑请求：</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签字（签章）：</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公章：</w:t>
      </w:r>
    </w:p>
    <w:p>
      <w:pPr>
        <w:spacing w:line="360" w:lineRule="auto"/>
        <w:rPr>
          <w:rFonts w:asciiTheme="minorEastAsia" w:hAnsiTheme="minorEastAsia"/>
          <w:sz w:val="24"/>
          <w:szCs w:val="23"/>
        </w:rPr>
      </w:pPr>
      <w:r>
        <w:rPr>
          <w:rFonts w:hint="eastAsia" w:asciiTheme="minorEastAsia" w:hAnsiTheme="minorEastAsia"/>
          <w:sz w:val="24"/>
          <w:szCs w:val="23"/>
        </w:rPr>
        <w:t>日期：</w:t>
      </w:r>
    </w:p>
    <w:p>
      <w:pPr>
        <w:spacing w:line="360" w:lineRule="auto"/>
        <w:rPr>
          <w:rFonts w:asciiTheme="minorEastAsia" w:hAnsiTheme="minorEastAsia"/>
          <w:sz w:val="23"/>
          <w:szCs w:val="23"/>
        </w:rPr>
      </w:pPr>
    </w:p>
    <w:p>
      <w:pPr>
        <w:spacing w:line="480" w:lineRule="auto"/>
        <w:rPr>
          <w:rFonts w:asciiTheme="minorEastAsia" w:hAnsiTheme="minorEastAsia"/>
          <w:b/>
          <w:sz w:val="24"/>
        </w:rPr>
      </w:pPr>
      <w:r>
        <w:rPr>
          <w:rFonts w:hint="eastAsia" w:asciiTheme="minorEastAsia" w:hAnsiTheme="minorEastAsia"/>
          <w:b/>
          <w:sz w:val="24"/>
        </w:rPr>
        <w:t>质疑函制作说明：</w:t>
      </w:r>
    </w:p>
    <w:p>
      <w:pPr>
        <w:spacing w:line="480" w:lineRule="auto"/>
        <w:rPr>
          <w:rFonts w:asciiTheme="minorEastAsia" w:hAnsiTheme="minorEastAsia"/>
          <w:b/>
          <w:sz w:val="24"/>
        </w:rPr>
      </w:pPr>
      <w:r>
        <w:rPr>
          <w:rFonts w:hint="eastAsia" w:asciiTheme="minorEastAsia" w:hAnsiTheme="minorEastAsia"/>
          <w:b/>
          <w:sz w:val="24"/>
        </w:rPr>
        <w:t>1. 投标人提出质疑时，应提交质疑函和必要的证明材料。</w:t>
      </w:r>
    </w:p>
    <w:p>
      <w:pPr>
        <w:spacing w:line="480" w:lineRule="auto"/>
        <w:rPr>
          <w:rFonts w:asciiTheme="minorEastAsia" w:hAnsiTheme="minorEastAsia"/>
          <w:b/>
          <w:sz w:val="24"/>
        </w:rPr>
      </w:pPr>
      <w:r>
        <w:rPr>
          <w:rFonts w:hint="eastAsia" w:asciiTheme="minorEastAsia" w:hAnsiTheme="minorEastAsia"/>
          <w:b/>
          <w:sz w:val="24"/>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rPr>
      </w:pPr>
      <w:r>
        <w:rPr>
          <w:rFonts w:hint="eastAsia" w:asciiTheme="minorEastAsia" w:hAnsiTheme="minorEastAsia"/>
          <w:b/>
          <w:sz w:val="24"/>
        </w:rPr>
        <w:t>3. 质疑函的质疑事项应具体、明确，并有必要的事实依据和法律依据。</w:t>
      </w:r>
    </w:p>
    <w:p>
      <w:pPr>
        <w:spacing w:line="480" w:lineRule="auto"/>
        <w:rPr>
          <w:rFonts w:asciiTheme="minorEastAsia" w:hAnsiTheme="minorEastAsia"/>
          <w:b/>
          <w:sz w:val="24"/>
        </w:rPr>
      </w:pPr>
      <w:r>
        <w:rPr>
          <w:rFonts w:hint="eastAsia" w:asciiTheme="minorEastAsia" w:hAnsiTheme="minorEastAsia"/>
          <w:b/>
          <w:sz w:val="24"/>
        </w:rPr>
        <w:t>4. 质疑函的质疑请求应与质疑事项相关。</w:t>
      </w:r>
    </w:p>
    <w:p>
      <w:pPr>
        <w:spacing w:line="480" w:lineRule="auto"/>
        <w:rPr>
          <w:rFonts w:asciiTheme="minorEastAsia" w:hAnsiTheme="minorEastAsia"/>
          <w:b/>
          <w:sz w:val="24"/>
        </w:rPr>
      </w:pPr>
      <w:r>
        <w:rPr>
          <w:rFonts w:hint="eastAsia" w:asciiTheme="minorEastAsia" w:hAnsiTheme="minorEastAsia"/>
          <w:b/>
          <w:sz w:val="24"/>
        </w:rPr>
        <w:t>5. 质疑投标人为自然人的，质疑函应由本人签字；质疑投标人为法人或者其他组织的，质疑函应由法定代表人、主要负责人 或者他授权代表签字或者盖章，并加盖公章。</w:t>
      </w:r>
    </w:p>
    <w:p>
      <w:pPr>
        <w:widowControl/>
        <w:jc w:val="left"/>
        <w:rPr>
          <w:rFonts w:asciiTheme="minorEastAsia" w:hAnsiTheme="minorEastAsia"/>
          <w:b/>
          <w:sz w:val="24"/>
        </w:rPr>
      </w:pPr>
      <w:r>
        <w:rPr>
          <w:rFonts w:asciiTheme="minorEastAsia" w:hAnsiTheme="minorEastAsia"/>
          <w:b/>
          <w:sz w:val="24"/>
        </w:rPr>
        <w:br w:type="page"/>
      </w:r>
    </w:p>
    <w:p>
      <w:pPr>
        <w:pStyle w:val="3"/>
        <w:spacing w:before="0" w:after="0"/>
        <w:jc w:val="center"/>
        <w:rPr>
          <w:rFonts w:asciiTheme="minorEastAsia" w:hAnsiTheme="minorEastAsia"/>
          <w:sz w:val="32"/>
        </w:rPr>
      </w:pPr>
      <w:bookmarkStart w:id="23" w:name="_Toc143350523"/>
      <w:r>
        <w:rPr>
          <w:rFonts w:hint="eastAsia" w:asciiTheme="minorEastAsia" w:hAnsiTheme="minorEastAsia"/>
          <w:sz w:val="32"/>
        </w:rPr>
        <w:t>第三章 评标方法和标准</w:t>
      </w:r>
      <w:bookmarkEnd w:id="23"/>
    </w:p>
    <w:p>
      <w:pPr>
        <w:spacing w:line="360" w:lineRule="auto"/>
        <w:ind w:firstLine="487" w:firstLineChars="202"/>
        <w:jc w:val="center"/>
        <w:rPr>
          <w:b/>
          <w:bCs/>
          <w:sz w:val="24"/>
          <w:szCs w:val="24"/>
        </w:rPr>
      </w:pPr>
      <w:bookmarkStart w:id="24" w:name="_Toc11072948"/>
      <w:bookmarkStart w:id="25" w:name="_Toc26445303"/>
      <w:bookmarkStart w:id="26" w:name="_Toc14946168"/>
      <w:bookmarkStart w:id="27" w:name="_Toc13068789"/>
      <w:bookmarkStart w:id="28" w:name="_Toc13052730"/>
      <w:bookmarkStart w:id="29" w:name="_Toc13053543"/>
      <w:r>
        <w:rPr>
          <w:rFonts w:hint="eastAsia"/>
          <w:b/>
          <w:bCs/>
          <w:sz w:val="24"/>
          <w:szCs w:val="24"/>
        </w:rPr>
        <w:t>评审因素及评审标准</w:t>
      </w:r>
    </w:p>
    <w:tbl>
      <w:tblPr>
        <w:tblStyle w:val="31"/>
        <w:tblW w:w="8316" w:type="dxa"/>
        <w:tblInd w:w="0" w:type="dxa"/>
        <w:tblLayout w:type="fixed"/>
        <w:tblCellMar>
          <w:top w:w="0" w:type="dxa"/>
          <w:left w:w="108" w:type="dxa"/>
          <w:bottom w:w="0" w:type="dxa"/>
          <w:right w:w="108" w:type="dxa"/>
        </w:tblCellMar>
      </w:tblPr>
      <w:tblGrid>
        <w:gridCol w:w="714"/>
        <w:gridCol w:w="2731"/>
        <w:gridCol w:w="4871"/>
      </w:tblGrid>
      <w:tr>
        <w:tblPrEx>
          <w:tblCellMar>
            <w:top w:w="0" w:type="dxa"/>
            <w:left w:w="108" w:type="dxa"/>
            <w:bottom w:w="0" w:type="dxa"/>
            <w:right w:w="108" w:type="dxa"/>
          </w:tblCellMar>
        </w:tblPrEx>
        <w:trPr>
          <w:trHeight w:val="476" w:hRule="atLeast"/>
        </w:trPr>
        <w:tc>
          <w:tcPr>
            <w:tcW w:w="71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名称</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评审因素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评审标准</w:t>
            </w:r>
          </w:p>
        </w:tc>
      </w:tr>
      <w:tr>
        <w:tblPrEx>
          <w:tblCellMar>
            <w:top w:w="0" w:type="dxa"/>
            <w:left w:w="108" w:type="dxa"/>
            <w:bottom w:w="0" w:type="dxa"/>
            <w:right w:w="108" w:type="dxa"/>
          </w:tblCellMar>
        </w:tblPrEx>
        <w:trPr>
          <w:trHeight w:val="476" w:hRule="atLeas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资格</w:t>
            </w:r>
            <w:r>
              <w:rPr>
                <w:rFonts w:hint="eastAsia" w:asciiTheme="minorEastAsia" w:hAnsiTheme="minorEastAsia"/>
                <w:kern w:val="0"/>
                <w:szCs w:val="21"/>
              </w:rPr>
              <w:t>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资格承诺声明函</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在投标文件中按招标文件格式提供承诺函</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失信被执行人、重大税收违法失信主体、政府采购严重违法失信行为记录名单查询</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采购人或采购代理机构开标后对所有投标人信用记录进行查询，并将查询结果网页打印并存档。投标人不良信用记录以开标后查询结果为准</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单位负责人为同一人或者存在直接控股、管理关系的不同</w:t>
            </w:r>
            <w:r>
              <w:rPr>
                <w:rFonts w:asciiTheme="minorEastAsia" w:hAnsiTheme="minorEastAsia"/>
                <w:kern w:val="0"/>
                <w:szCs w:val="21"/>
              </w:rPr>
              <w:t>供应商</w:t>
            </w:r>
            <w:r>
              <w:rPr>
                <w:rFonts w:hint="eastAsia" w:asciiTheme="minorEastAsia" w:hAnsiTheme="minorEastAsia"/>
                <w:kern w:val="0"/>
                <w:szCs w:val="21"/>
              </w:rPr>
              <w:t>，不得参加同一合同项下的政府采购活动</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针对是否存在“单位负责人为同一人或者存在直接控股、管理关系的不同</w:t>
            </w:r>
            <w:r>
              <w:rPr>
                <w:rFonts w:asciiTheme="minorEastAsia" w:hAnsiTheme="minorEastAsia"/>
                <w:kern w:val="0"/>
                <w:szCs w:val="21"/>
              </w:rPr>
              <w:t>供应商</w:t>
            </w:r>
            <w:r>
              <w:rPr>
                <w:rFonts w:hint="eastAsia" w:asciiTheme="minorEastAsia" w:hAnsiTheme="minorEastAsia"/>
                <w:kern w:val="0"/>
                <w:szCs w:val="21"/>
              </w:rPr>
              <w:t>，同时参加本项目同一合同项下的政府采购活动”情形的声明函</w:t>
            </w:r>
          </w:p>
        </w:tc>
      </w:tr>
      <w:tr>
        <w:tblPrEx>
          <w:tblCellMar>
            <w:top w:w="0" w:type="dxa"/>
            <w:left w:w="108" w:type="dxa"/>
            <w:bottom w:w="0" w:type="dxa"/>
            <w:right w:w="108" w:type="dxa"/>
          </w:tblCellMar>
        </w:tblPrEx>
        <w:trPr>
          <w:trHeight w:val="420" w:hRule="exac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符合性审查标准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投标人名称</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与营业执照一致</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签字盖章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符合招标文件第二章须知前附表3.7.3条要求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投标有效期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符合招标文件第二章须知前附表3.3.1条要求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交货期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符合招标文件第二章须知前附表1.3.2条要求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质保期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w:t>
            </w:r>
            <w:r>
              <w:rPr>
                <w:rFonts w:asciiTheme="minorEastAsia" w:hAnsiTheme="minorEastAsia"/>
                <w:kern w:val="0"/>
                <w:szCs w:val="21"/>
              </w:rPr>
              <w:t>3</w:t>
            </w:r>
            <w:r>
              <w:rPr>
                <w:rFonts w:hint="eastAsia" w:asciiTheme="minorEastAsia" w:hAnsiTheme="minorEastAsia"/>
                <w:kern w:val="0"/>
                <w:szCs w:val="21"/>
              </w:rPr>
              <w:t>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质量要求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符合招标文件第二章须知前附表1.3.4条要求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投标报价</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投标报价不得高于本项目最高限价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报价唯一</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只有一个有效报价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其他实质性要求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未违反招标文件中规定的其他实质性要求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投标文件制作机器码</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未与其他投标人的投标文件制作机器码一致</w:t>
            </w:r>
          </w:p>
        </w:tc>
      </w:tr>
    </w:tbl>
    <w:p>
      <w:pPr>
        <w:widowControl/>
        <w:jc w:val="left"/>
        <w:rPr>
          <w:sz w:val="24"/>
          <w:szCs w:val="24"/>
        </w:rPr>
      </w:pPr>
      <w:r>
        <w:rPr>
          <w:sz w:val="24"/>
          <w:szCs w:val="24"/>
        </w:rPr>
        <w:br w:type="page"/>
      </w:r>
    </w:p>
    <w:tbl>
      <w:tblPr>
        <w:tblStyle w:val="31"/>
        <w:tblW w:w="5069" w:type="pct"/>
        <w:tblInd w:w="-103" w:type="dxa"/>
        <w:tblLayout w:type="autofit"/>
        <w:tblCellMar>
          <w:top w:w="0" w:type="dxa"/>
          <w:left w:w="0" w:type="dxa"/>
          <w:bottom w:w="0" w:type="dxa"/>
          <w:right w:w="0" w:type="dxa"/>
        </w:tblCellMar>
      </w:tblPr>
      <w:tblGrid>
        <w:gridCol w:w="740"/>
        <w:gridCol w:w="963"/>
        <w:gridCol w:w="1729"/>
        <w:gridCol w:w="4999"/>
      </w:tblGrid>
      <w:tr>
        <w:tblPrEx>
          <w:tblCellMar>
            <w:top w:w="0" w:type="dxa"/>
            <w:left w:w="0" w:type="dxa"/>
            <w:bottom w:w="0" w:type="dxa"/>
            <w:right w:w="0" w:type="dxa"/>
          </w:tblCellMar>
        </w:tblPrEx>
        <w:trPr>
          <w:trHeight w:val="671" w:hRule="atLeast"/>
        </w:trPr>
        <w:tc>
          <w:tcPr>
            <w:tcW w:w="439"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序号</w:t>
            </w:r>
          </w:p>
        </w:tc>
        <w:tc>
          <w:tcPr>
            <w:tcW w:w="1596" w:type="pct"/>
            <w:gridSpan w:val="2"/>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before="50" w:line="276" w:lineRule="auto"/>
              <w:ind w:right="97" w:firstLine="58" w:firstLineChars="28"/>
              <w:jc w:val="center"/>
              <w:rPr>
                <w:rFonts w:ascii="宋体" w:hAnsi="宋体" w:eastAsia="宋体" w:cs="宋体"/>
                <w:kern w:val="0"/>
                <w:szCs w:val="21"/>
              </w:rPr>
            </w:pPr>
            <w:r>
              <w:rPr>
                <w:rFonts w:hint="eastAsia" w:ascii="宋体" w:hAnsi="宋体" w:eastAsia="宋体" w:cs="宋体"/>
                <w:kern w:val="0"/>
                <w:szCs w:val="21"/>
              </w:rPr>
              <w:t>评审因素</w:t>
            </w:r>
          </w:p>
        </w:tc>
        <w:tc>
          <w:tcPr>
            <w:tcW w:w="296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76" w:lineRule="auto"/>
              <w:ind w:firstLine="105" w:firstLineChars="50"/>
              <w:jc w:val="left"/>
              <w:rPr>
                <w:rFonts w:ascii="宋体" w:hAnsi="宋体" w:eastAsia="宋体" w:cs="宋体"/>
                <w:kern w:val="0"/>
                <w:szCs w:val="21"/>
              </w:rPr>
            </w:pPr>
            <w:r>
              <w:rPr>
                <w:rFonts w:hint="eastAsia" w:ascii="宋体" w:hAnsi="宋体" w:eastAsia="宋体" w:cs="宋体"/>
                <w:kern w:val="0"/>
                <w:szCs w:val="21"/>
              </w:rPr>
              <w:t>评审标准</w:t>
            </w:r>
          </w:p>
        </w:tc>
      </w:tr>
      <w:tr>
        <w:tblPrEx>
          <w:tblCellMar>
            <w:top w:w="0" w:type="dxa"/>
            <w:left w:w="0" w:type="dxa"/>
            <w:bottom w:w="0" w:type="dxa"/>
            <w:right w:w="0" w:type="dxa"/>
          </w:tblCellMar>
        </w:tblPrEx>
        <w:trPr>
          <w:trHeight w:val="671" w:hRule="atLeast"/>
        </w:trPr>
        <w:tc>
          <w:tcPr>
            <w:tcW w:w="439"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ascii="宋体" w:hAnsi="宋体" w:eastAsia="宋体" w:cs="宋体"/>
                <w:kern w:val="0"/>
                <w:szCs w:val="21"/>
              </w:rPr>
              <w:t>1</w:t>
            </w:r>
          </w:p>
        </w:tc>
        <w:tc>
          <w:tcPr>
            <w:tcW w:w="571"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投标报价（3</w:t>
            </w:r>
            <w:r>
              <w:rPr>
                <w:rFonts w:ascii="宋体" w:hAnsi="宋体" w:eastAsia="宋体" w:cs="宋体"/>
                <w:kern w:val="0"/>
                <w:szCs w:val="21"/>
              </w:rPr>
              <w:t>0</w:t>
            </w:r>
            <w:r>
              <w:rPr>
                <w:rFonts w:hint="eastAsia" w:ascii="宋体" w:hAnsi="宋体" w:eastAsia="宋体" w:cs="宋体"/>
                <w:kern w:val="0"/>
                <w:szCs w:val="21"/>
              </w:rPr>
              <w:t>分）</w:t>
            </w:r>
          </w:p>
        </w:tc>
        <w:tc>
          <w:tcPr>
            <w:tcW w:w="1025"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276" w:lineRule="auto"/>
              <w:jc w:val="center"/>
              <w:rPr>
                <w:rFonts w:ascii="宋体" w:hAnsi="宋体" w:eastAsia="宋体" w:cs="宋体"/>
                <w:szCs w:val="21"/>
              </w:rPr>
            </w:pPr>
            <w:r>
              <w:rPr>
                <w:rFonts w:hint="eastAsia" w:ascii="宋体" w:hAnsi="宋体" w:eastAsia="宋体" w:cs="宋体"/>
                <w:szCs w:val="21"/>
              </w:rPr>
              <w:t>价格评审</w:t>
            </w:r>
          </w:p>
          <w:p>
            <w:pPr>
              <w:tabs>
                <w:tab w:val="left" w:pos="0"/>
                <w:tab w:val="left" w:pos="360"/>
              </w:tabs>
              <w:spacing w:line="276" w:lineRule="auto"/>
              <w:jc w:val="center"/>
              <w:rPr>
                <w:rFonts w:ascii="宋体" w:hAnsi="宋体" w:eastAsia="宋体" w:cs="宋体"/>
                <w:kern w:val="0"/>
                <w:szCs w:val="21"/>
              </w:rPr>
            </w:pPr>
            <w:r>
              <w:rPr>
                <w:rFonts w:hint="eastAsia" w:ascii="宋体" w:hAnsi="宋体" w:eastAsia="宋体" w:cs="宋体"/>
                <w:szCs w:val="21"/>
              </w:rPr>
              <w:t>（30分）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价格分统一采用低价优先法计算，即</w:t>
            </w:r>
          </w:p>
          <w:p>
            <w:pPr>
              <w:spacing w:line="276" w:lineRule="auto"/>
              <w:rPr>
                <w:rFonts w:ascii="宋体" w:hAnsi="宋体" w:eastAsia="宋体" w:cs="宋体"/>
                <w:szCs w:val="21"/>
              </w:rPr>
            </w:pPr>
            <w:r>
              <w:rPr>
                <w:rFonts w:hint="eastAsia" w:ascii="宋体" w:hAnsi="宋体" w:eastAsia="宋体" w:cs="宋体"/>
                <w:szCs w:val="21"/>
              </w:rPr>
              <w:t xml:space="preserve">评标基准价=有效投标人价格扣除后的最低报价，其价格分为满分。其他投标人的价格分统一按照下列公式计算： </w:t>
            </w:r>
          </w:p>
          <w:p>
            <w:pPr>
              <w:spacing w:line="276" w:lineRule="auto"/>
              <w:rPr>
                <w:rFonts w:ascii="宋体" w:hAnsi="宋体" w:eastAsia="宋体" w:cs="宋体"/>
                <w:szCs w:val="21"/>
              </w:rPr>
            </w:pPr>
            <w:r>
              <w:rPr>
                <w:rFonts w:hint="eastAsia" w:ascii="宋体" w:hAnsi="宋体" w:eastAsia="宋体" w:cs="宋体"/>
                <w:szCs w:val="21"/>
              </w:rPr>
              <w:t>投标报价得分=评标基准价/价格扣除后的投标报价×30×100%</w:t>
            </w:r>
          </w:p>
          <w:p>
            <w:pPr>
              <w:spacing w:line="276" w:lineRule="auto"/>
              <w:rPr>
                <w:rFonts w:ascii="宋体" w:hAnsi="宋体" w:eastAsia="宋体" w:cs="宋体"/>
                <w:szCs w:val="21"/>
              </w:rPr>
            </w:pPr>
            <w:r>
              <w:rPr>
                <w:rFonts w:hint="eastAsia" w:ascii="宋体" w:hAnsi="宋体" w:eastAsia="宋体" w:cs="宋体"/>
                <w:szCs w:val="21"/>
              </w:rPr>
              <w:t xml:space="preserve">价格扣除后的投标报价＝投标报价－小微企业总价×20% </w:t>
            </w:r>
          </w:p>
          <w:p>
            <w:pPr>
              <w:spacing w:line="276" w:lineRule="auto"/>
              <w:rPr>
                <w:rFonts w:ascii="宋体" w:hAnsi="宋体" w:eastAsia="宋体" w:cs="宋体"/>
                <w:szCs w:val="21"/>
              </w:rPr>
            </w:pPr>
            <w:r>
              <w:rPr>
                <w:rFonts w:hint="eastAsia" w:ascii="宋体" w:hAnsi="宋体" w:eastAsia="宋体" w:cs="宋体"/>
                <w:szCs w:val="21"/>
              </w:rPr>
              <w:t>备注：</w:t>
            </w:r>
          </w:p>
          <w:p>
            <w:pPr>
              <w:spacing w:line="276" w:lineRule="auto"/>
              <w:rPr>
                <w:rFonts w:ascii="宋体" w:hAnsi="宋体" w:eastAsia="宋体" w:cs="宋体"/>
                <w:szCs w:val="21"/>
              </w:rPr>
            </w:pPr>
            <w:r>
              <w:rPr>
                <w:rFonts w:hint="eastAsia" w:ascii="宋体" w:hAnsi="宋体" w:eastAsia="宋体" w:cs="宋体"/>
                <w:szCs w:val="21"/>
              </w:rPr>
              <w:t>1.关于报价评分中给予中小企业优惠的说明：评审时给予小型或微型企业20%的价格扣除，用扣除后的价格参与评审。投标人须提供中小企业声明函，否则不予认可。</w:t>
            </w:r>
          </w:p>
          <w:p>
            <w:pPr>
              <w:spacing w:line="276" w:lineRule="auto"/>
              <w:rPr>
                <w:rFonts w:ascii="宋体" w:hAnsi="宋体" w:eastAsia="宋体" w:cs="宋体"/>
                <w:szCs w:val="21"/>
              </w:rPr>
            </w:pPr>
            <w:r>
              <w:rPr>
                <w:rFonts w:hint="eastAsia" w:ascii="宋体" w:hAnsi="宋体" w:eastAsia="宋体" w:cs="宋体"/>
                <w:szCs w:val="21"/>
              </w:rPr>
              <w:t>2.评标委员会认为投标人的报价明显低于其他通过符合性审查投标人的报价，有可能影响产品质量或者不能诚信履约的，应当要求其在评标现场合理的时间内提供书面说明，并提交相关证明材料；投标人不能合理说明或不能提交有力证明材料证明其报价合理性的，评标委员会应当将其作为无效投标处理。</w:t>
            </w:r>
          </w:p>
          <w:p>
            <w:pPr>
              <w:spacing w:line="276" w:lineRule="auto"/>
              <w:rPr>
                <w:rFonts w:ascii="Times New Roman" w:hAnsi="宋体" w:eastAsia="宋体" w:cs="Times New Roman"/>
                <w:szCs w:val="21"/>
              </w:rPr>
            </w:pPr>
            <w:r>
              <w:rPr>
                <w:rFonts w:hint="eastAsia" w:ascii="宋体" w:hAnsi="宋体" w:eastAsia="宋体" w:cs="宋体"/>
                <w:szCs w:val="21"/>
              </w:rPr>
              <w:t>3.按四舍五入，保留小数点后二位。</w:t>
            </w:r>
          </w:p>
        </w:tc>
      </w:tr>
      <w:tr>
        <w:tblPrEx>
          <w:tblCellMar>
            <w:top w:w="0" w:type="dxa"/>
            <w:left w:w="0" w:type="dxa"/>
            <w:bottom w:w="0" w:type="dxa"/>
            <w:right w:w="0" w:type="dxa"/>
          </w:tblCellMar>
        </w:tblPrEx>
        <w:trPr>
          <w:trHeight w:val="671" w:hRule="atLeast"/>
        </w:trPr>
        <w:tc>
          <w:tcPr>
            <w:tcW w:w="439" w:type="pct"/>
            <w:vMerge w:val="restart"/>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2</w:t>
            </w:r>
          </w:p>
        </w:tc>
        <w:tc>
          <w:tcPr>
            <w:tcW w:w="571" w:type="pct"/>
            <w:vMerge w:val="restart"/>
            <w:tcBorders>
              <w:top w:val="single" w:color="000000" w:sz="4" w:space="0"/>
              <w:left w:val="single" w:color="auto" w:sz="4" w:space="0"/>
              <w:right w:val="single" w:color="auto" w:sz="4" w:space="0"/>
            </w:tcBorders>
            <w:vAlign w:val="center"/>
          </w:tcPr>
          <w:p>
            <w:pPr>
              <w:tabs>
                <w:tab w:val="left" w:pos="0"/>
                <w:tab w:val="left" w:pos="360"/>
              </w:tabs>
              <w:spacing w:line="276" w:lineRule="auto"/>
              <w:jc w:val="center"/>
              <w:rPr>
                <w:rFonts w:ascii="宋体" w:hAnsi="宋体" w:eastAsia="宋体" w:cs="宋体"/>
                <w:szCs w:val="21"/>
              </w:rPr>
            </w:pPr>
            <w:r>
              <w:rPr>
                <w:rFonts w:hint="eastAsia" w:ascii="宋体" w:hAnsi="宋体" w:eastAsia="宋体" w:cs="宋体"/>
                <w:szCs w:val="21"/>
              </w:rPr>
              <w:t>商务部分</w:t>
            </w:r>
          </w:p>
          <w:p>
            <w:pPr>
              <w:autoSpaceDE w:val="0"/>
              <w:autoSpaceDN w:val="0"/>
              <w:adjustRightInd w:val="0"/>
              <w:spacing w:before="50" w:line="276" w:lineRule="auto"/>
              <w:ind w:right="97"/>
              <w:rPr>
                <w:rFonts w:ascii="宋体" w:hAnsi="宋体" w:eastAsia="宋体" w:cs="宋体"/>
                <w:kern w:val="0"/>
                <w:szCs w:val="21"/>
              </w:rPr>
            </w:pPr>
            <w:r>
              <w:rPr>
                <w:rFonts w:hint="eastAsia" w:ascii="宋体" w:hAnsi="宋体" w:eastAsia="宋体" w:cs="宋体"/>
                <w:szCs w:val="21"/>
              </w:rPr>
              <w:t>（15分）</w:t>
            </w:r>
          </w:p>
        </w:tc>
        <w:tc>
          <w:tcPr>
            <w:tcW w:w="1025" w:type="pct"/>
            <w:tcBorders>
              <w:top w:val="single" w:color="000000" w:sz="4" w:space="0"/>
              <w:left w:val="single" w:color="auto" w:sz="4" w:space="0"/>
              <w:bottom w:val="single" w:color="000000" w:sz="4" w:space="0"/>
              <w:right w:val="single" w:color="000000" w:sz="4" w:space="0"/>
            </w:tcBorders>
            <w:vAlign w:val="center"/>
          </w:tcPr>
          <w:p>
            <w:pPr>
              <w:snapToGrid w:val="0"/>
              <w:spacing w:before="156" w:beforeLines="50"/>
              <w:jc w:val="center"/>
              <w:rPr>
                <w:rFonts w:ascii="Times New Roman" w:hAnsi="Times New Roman" w:eastAsia="宋体" w:cs="Times New Roman"/>
                <w:szCs w:val="21"/>
              </w:rPr>
            </w:pPr>
            <w:r>
              <w:rPr>
                <w:rFonts w:hint="eastAsia" w:ascii="宋体" w:hAnsi="宋体" w:eastAsia="宋体" w:cs="宋体"/>
                <w:bCs/>
                <w:szCs w:val="21"/>
              </w:rPr>
              <w:t>业绩（3分）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before="4" w:line="319" w:lineRule="auto"/>
              <w:ind w:left="107" w:right="99"/>
              <w:rPr>
                <w:rFonts w:ascii="宋体" w:hAnsi="宋体" w:eastAsia="宋体" w:cs="宋体"/>
                <w:szCs w:val="21"/>
              </w:rPr>
            </w:pPr>
            <w:r>
              <w:rPr>
                <w:rFonts w:hint="eastAsia" w:ascii="宋体" w:hAnsi="宋体" w:eastAsia="宋体" w:cs="宋体"/>
                <w:szCs w:val="21"/>
              </w:rPr>
              <w:t>投标人提供 2020年1 月 1 日以来签订并完成类似项目的业绩证明文件，每提供一份得 1 分，最多得 3分。（提供合同、中标通知书复印件，不提供不得分。）</w:t>
            </w:r>
          </w:p>
        </w:tc>
      </w:tr>
      <w:tr>
        <w:tblPrEx>
          <w:tblCellMar>
            <w:top w:w="0" w:type="dxa"/>
            <w:left w:w="0" w:type="dxa"/>
            <w:bottom w:w="0" w:type="dxa"/>
            <w:right w:w="0" w:type="dxa"/>
          </w:tblCellMar>
        </w:tblPrEx>
        <w:trPr>
          <w:trHeight w:val="962" w:hRule="atLeast"/>
        </w:trPr>
        <w:tc>
          <w:tcPr>
            <w:tcW w:w="439" w:type="pct"/>
            <w:vMerge w:val="continue"/>
            <w:tcBorders>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left w:val="single" w:color="auto" w:sz="4" w:space="0"/>
              <w:right w:val="single" w:color="auto" w:sz="4" w:space="0"/>
            </w:tcBorders>
            <w:vAlign w:val="center"/>
          </w:tcPr>
          <w:p>
            <w:pPr>
              <w:autoSpaceDE w:val="0"/>
              <w:autoSpaceDN w:val="0"/>
              <w:adjustRightInd w:val="0"/>
              <w:spacing w:before="50" w:line="276" w:lineRule="auto"/>
              <w:ind w:right="97"/>
              <w:rPr>
                <w:rFonts w:ascii="宋体" w:hAnsi="宋体" w:eastAsia="宋体" w:cs="宋体"/>
                <w:szCs w:val="21"/>
              </w:rPr>
            </w:pPr>
          </w:p>
        </w:tc>
        <w:tc>
          <w:tcPr>
            <w:tcW w:w="1025" w:type="pct"/>
            <w:vMerge w:val="restart"/>
            <w:tcBorders>
              <w:top w:val="single" w:color="000000" w:sz="4" w:space="0"/>
              <w:left w:val="single" w:color="auto" w:sz="4" w:space="0"/>
              <w:right w:val="single" w:color="000000" w:sz="4" w:space="0"/>
            </w:tcBorders>
            <w:vAlign w:val="center"/>
          </w:tcPr>
          <w:p>
            <w:pPr>
              <w:adjustRightInd w:val="0"/>
              <w:snapToGrid w:val="0"/>
              <w:spacing w:line="440" w:lineRule="exact"/>
              <w:jc w:val="center"/>
              <w:rPr>
                <w:rFonts w:ascii="宋体" w:hAnsi="宋体" w:eastAsia="宋体" w:cs="Times New Roman"/>
                <w:bCs/>
                <w:szCs w:val="21"/>
              </w:rPr>
            </w:pPr>
            <w:r>
              <w:rPr>
                <w:rFonts w:hint="eastAsia" w:ascii="宋体" w:hAnsi="宋体" w:eastAsia="宋体" w:cs="Times New Roman"/>
                <w:bCs/>
                <w:szCs w:val="21"/>
              </w:rPr>
              <w:t>售后服务</w:t>
            </w:r>
          </w:p>
          <w:p>
            <w:pPr>
              <w:snapToGrid w:val="0"/>
              <w:spacing w:line="440" w:lineRule="exact"/>
              <w:jc w:val="center"/>
              <w:rPr>
                <w:rFonts w:ascii="Times New Roman" w:hAnsi="Times New Roman" w:eastAsia="宋体" w:cs="Times New Roman"/>
                <w:szCs w:val="21"/>
              </w:rPr>
            </w:pPr>
            <w:r>
              <w:rPr>
                <w:rFonts w:hint="eastAsia" w:ascii="宋体" w:hAnsi="宋体" w:eastAsia="宋体" w:cs="宋体"/>
                <w:bCs/>
                <w:szCs w:val="21"/>
              </w:rPr>
              <w:t>（</w:t>
            </w:r>
            <w:r>
              <w:rPr>
                <w:rFonts w:ascii="宋体" w:hAnsi="宋体" w:eastAsia="宋体" w:cs="宋体"/>
                <w:bCs/>
                <w:szCs w:val="21"/>
              </w:rPr>
              <w:t>1</w:t>
            </w:r>
            <w:r>
              <w:rPr>
                <w:rFonts w:hint="eastAsia" w:ascii="宋体" w:hAnsi="宋体" w:eastAsia="宋体" w:cs="宋体"/>
                <w:bCs/>
                <w:szCs w:val="21"/>
              </w:rPr>
              <w:t>2分）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eastAsia="宋体" w:cs="宋体"/>
                <w:szCs w:val="21"/>
              </w:rPr>
            </w:pPr>
            <w:r>
              <w:rPr>
                <w:rFonts w:hint="eastAsia" w:ascii="宋体" w:hAnsi="宋体" w:eastAsia="宋体" w:cs="宋体"/>
                <w:szCs w:val="21"/>
              </w:rPr>
              <w:t>1、售后服务方案完整、全面，投标人针对本项目的本单位的固定售后服务人员配置全面，响应速度在4小时以内且有具体可行的实质性响应措施的得3分；</w:t>
            </w:r>
          </w:p>
          <w:p>
            <w:pPr>
              <w:spacing w:line="360" w:lineRule="auto"/>
              <w:rPr>
                <w:rFonts w:ascii="宋体" w:hAnsi="宋体" w:eastAsia="宋体" w:cs="宋体"/>
                <w:szCs w:val="21"/>
              </w:rPr>
            </w:pPr>
            <w:r>
              <w:rPr>
                <w:rFonts w:hint="eastAsia" w:ascii="宋体" w:hAnsi="宋体" w:eastAsia="宋体" w:cs="宋体"/>
                <w:szCs w:val="21"/>
              </w:rPr>
              <w:t>售后服务方案相对完整、全面，投标人针对本项目的本单位固定售后服务人员配置基本全面，响应速度在8小时以内且有具体可行的实质性响应措施的得2分；</w:t>
            </w:r>
          </w:p>
          <w:p>
            <w:pPr>
              <w:spacing w:line="360" w:lineRule="auto"/>
              <w:rPr>
                <w:rFonts w:ascii="宋体" w:hAnsi="宋体" w:eastAsia="宋体" w:cs="宋体"/>
                <w:szCs w:val="21"/>
              </w:rPr>
            </w:pPr>
            <w:r>
              <w:rPr>
                <w:rFonts w:hint="eastAsia" w:ascii="宋体" w:hAnsi="宋体" w:eastAsia="宋体" w:cs="宋体"/>
                <w:szCs w:val="21"/>
              </w:rPr>
              <w:t>未完全提供或不适用于本项目的得1分；</w:t>
            </w:r>
          </w:p>
          <w:p>
            <w:pPr>
              <w:spacing w:line="360" w:lineRule="auto"/>
              <w:rPr>
                <w:rFonts w:ascii="Times New Roman" w:hAnsi="Times New Roman" w:eastAsia="宋体" w:cs="Times New Roman"/>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70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Times New Roman" w:hAnsi="Times New Roman" w:eastAsia="宋体" w:cs="Times New Roman"/>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Times New Roman" w:hAnsi="Times New Roman" w:eastAsia="宋体" w:cs="Times New Roman"/>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Times New Roman" w:hAnsi="Times New Roman" w:eastAsia="宋体" w:cs="Times New Roman"/>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eastAsia="宋体" w:cs="宋体"/>
                <w:szCs w:val="21"/>
              </w:rPr>
            </w:pPr>
            <w:r>
              <w:rPr>
                <w:rFonts w:hint="eastAsia" w:ascii="宋体" w:hAnsi="宋体" w:eastAsia="宋体" w:cs="宋体"/>
                <w:szCs w:val="21"/>
              </w:rPr>
              <w:t>2、为客户提供实质性优惠承诺，优惠内容合理且实用的得3分；</w:t>
            </w:r>
          </w:p>
          <w:p>
            <w:pPr>
              <w:spacing w:line="360" w:lineRule="auto"/>
              <w:rPr>
                <w:rFonts w:ascii="宋体" w:hAnsi="宋体" w:eastAsia="宋体" w:cs="宋体"/>
                <w:szCs w:val="21"/>
              </w:rPr>
            </w:pPr>
            <w:r>
              <w:rPr>
                <w:rFonts w:hint="eastAsia" w:ascii="宋体" w:hAnsi="宋体" w:eastAsia="宋体" w:cs="宋体"/>
                <w:szCs w:val="21"/>
              </w:rPr>
              <w:t>为客户提供的优惠承诺内容欠合理、实用价值一般的得2分；</w:t>
            </w:r>
          </w:p>
          <w:p>
            <w:pPr>
              <w:spacing w:line="360" w:lineRule="auto"/>
              <w:rPr>
                <w:rFonts w:ascii="宋体" w:hAnsi="宋体" w:eastAsia="宋体" w:cs="宋体"/>
                <w:szCs w:val="21"/>
              </w:rPr>
            </w:pPr>
            <w:r>
              <w:rPr>
                <w:rFonts w:hint="eastAsia" w:ascii="宋体" w:hAnsi="宋体" w:eastAsia="宋体" w:cs="宋体"/>
                <w:szCs w:val="21"/>
              </w:rPr>
              <w:t>未完全提供或不适用于本项目的得1分；</w:t>
            </w:r>
          </w:p>
          <w:p>
            <w:pPr>
              <w:spacing w:line="360" w:lineRule="auto"/>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52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宋体" w:hAnsi="宋体" w:eastAsia="宋体" w:cs="宋体"/>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numPr>
                <w:ilvl w:val="0"/>
                <w:numId w:val="4"/>
              </w:numPr>
              <w:spacing w:line="360" w:lineRule="auto"/>
              <w:rPr>
                <w:rFonts w:ascii="宋体" w:hAnsi="宋体" w:eastAsia="宋体" w:cs="宋体"/>
                <w:szCs w:val="21"/>
              </w:rPr>
            </w:pPr>
            <w:r>
              <w:rPr>
                <w:rFonts w:hint="eastAsia" w:ascii="宋体" w:hAnsi="宋体" w:eastAsia="宋体" w:cs="宋体"/>
                <w:szCs w:val="21"/>
              </w:rPr>
              <w:t>提供培训方案，包括培训时间、培训对象、培训内容等。</w:t>
            </w:r>
          </w:p>
          <w:p>
            <w:pPr>
              <w:spacing w:line="360" w:lineRule="auto"/>
              <w:rPr>
                <w:rFonts w:ascii="宋体" w:hAnsi="宋体" w:eastAsia="宋体" w:cs="宋体"/>
                <w:szCs w:val="21"/>
              </w:rPr>
            </w:pPr>
            <w:r>
              <w:rPr>
                <w:rFonts w:hint="eastAsia" w:ascii="宋体" w:hAnsi="宋体" w:eastAsia="宋体" w:cs="宋体"/>
                <w:szCs w:val="21"/>
              </w:rPr>
              <w:t>培训方案可行合理、内容完整的得3分；</w:t>
            </w:r>
          </w:p>
          <w:p>
            <w:pPr>
              <w:spacing w:line="360" w:lineRule="auto"/>
              <w:rPr>
                <w:rFonts w:ascii="宋体" w:hAnsi="宋体" w:eastAsia="宋体" w:cs="宋体"/>
                <w:szCs w:val="21"/>
              </w:rPr>
            </w:pPr>
            <w:r>
              <w:rPr>
                <w:rFonts w:hint="eastAsia" w:ascii="宋体" w:hAnsi="宋体" w:eastAsia="宋体" w:cs="宋体"/>
                <w:szCs w:val="21"/>
              </w:rPr>
              <w:t>培训方案内容完整，可行合理性一般的得2分；</w:t>
            </w:r>
          </w:p>
          <w:p>
            <w:pPr>
              <w:spacing w:line="360" w:lineRule="auto"/>
              <w:rPr>
                <w:rFonts w:ascii="宋体" w:hAnsi="宋体" w:eastAsia="宋体" w:cs="宋体"/>
                <w:szCs w:val="21"/>
              </w:rPr>
            </w:pPr>
            <w:r>
              <w:rPr>
                <w:rFonts w:hint="eastAsia" w:ascii="宋体" w:hAnsi="宋体" w:eastAsia="宋体" w:cs="宋体"/>
                <w:szCs w:val="21"/>
              </w:rPr>
              <w:t>培训方案不完整或可行合理性差的得1分；</w:t>
            </w:r>
          </w:p>
          <w:p>
            <w:pPr>
              <w:snapToGrid w:val="0"/>
              <w:spacing w:line="440" w:lineRule="exact"/>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91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宋体" w:hAnsi="宋体" w:eastAsia="宋体" w:cs="宋体"/>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4、合理化建议</w:t>
            </w:r>
          </w:p>
          <w:p>
            <w:pPr>
              <w:spacing w:line="276" w:lineRule="auto"/>
              <w:rPr>
                <w:rFonts w:ascii="宋体" w:hAnsi="宋体" w:eastAsia="宋体" w:cs="宋体"/>
                <w:szCs w:val="21"/>
              </w:rPr>
            </w:pPr>
            <w:r>
              <w:rPr>
                <w:rFonts w:hint="eastAsia" w:ascii="宋体" w:hAnsi="宋体" w:eastAsia="宋体" w:cs="宋体"/>
                <w:szCs w:val="21"/>
              </w:rPr>
              <w:t>投标人具有切实可行且完全适用于本项目实际情况的合理化建议及相应措施的得3分；</w:t>
            </w:r>
          </w:p>
          <w:p>
            <w:pPr>
              <w:spacing w:line="276" w:lineRule="auto"/>
              <w:rPr>
                <w:rFonts w:ascii="宋体" w:hAnsi="宋体" w:eastAsia="宋体" w:cs="宋体"/>
                <w:szCs w:val="21"/>
              </w:rPr>
            </w:pPr>
            <w:r>
              <w:rPr>
                <w:rFonts w:hint="eastAsia" w:ascii="宋体" w:hAnsi="宋体" w:eastAsia="宋体" w:cs="宋体"/>
                <w:szCs w:val="21"/>
              </w:rPr>
              <w:t>具有一定可行性且部分适用于本项目实际情况的得2分；</w:t>
            </w:r>
          </w:p>
          <w:p>
            <w:pPr>
              <w:spacing w:line="276" w:lineRule="auto"/>
              <w:rPr>
                <w:rFonts w:ascii="宋体" w:hAnsi="宋体" w:eastAsia="宋体" w:cs="宋体"/>
                <w:szCs w:val="21"/>
              </w:rPr>
            </w:pPr>
            <w:r>
              <w:rPr>
                <w:rFonts w:hint="eastAsia" w:ascii="宋体" w:hAnsi="宋体" w:eastAsia="宋体" w:cs="宋体"/>
                <w:szCs w:val="21"/>
              </w:rPr>
              <w:t>未完全提供或与本项目实际情况有所差距的得1分；</w:t>
            </w:r>
          </w:p>
          <w:p>
            <w:pPr>
              <w:snapToGrid w:val="0"/>
              <w:spacing w:line="440" w:lineRule="exact"/>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55" w:hRule="atLeast"/>
        </w:trPr>
        <w:tc>
          <w:tcPr>
            <w:tcW w:w="439" w:type="pct"/>
            <w:vMerge w:val="restart"/>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3</w:t>
            </w:r>
          </w:p>
        </w:tc>
        <w:tc>
          <w:tcPr>
            <w:tcW w:w="571" w:type="pct"/>
            <w:vMerge w:val="restart"/>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kern w:val="0"/>
                <w:szCs w:val="21"/>
              </w:rPr>
              <w:t>技术部分（55分）</w:t>
            </w:r>
          </w:p>
        </w:tc>
        <w:tc>
          <w:tcPr>
            <w:tcW w:w="1025" w:type="pct"/>
            <w:vMerge w:val="restart"/>
            <w:tcBorders>
              <w:top w:val="single" w:color="000000" w:sz="4" w:space="0"/>
              <w:left w:val="single" w:color="auto" w:sz="4" w:space="0"/>
              <w:right w:val="single" w:color="000000"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szCs w:val="21"/>
              </w:rPr>
              <w:t>实施方案（</w:t>
            </w:r>
            <w:r>
              <w:rPr>
                <w:rFonts w:ascii="宋体" w:hAnsi="宋体" w:eastAsia="宋体" w:cs="宋体"/>
                <w:szCs w:val="21"/>
              </w:rPr>
              <w:t>15</w:t>
            </w:r>
            <w:r>
              <w:rPr>
                <w:rFonts w:hint="eastAsia" w:ascii="宋体" w:hAnsi="宋体" w:eastAsia="宋体" w:cs="宋体"/>
                <w:szCs w:val="21"/>
              </w:rPr>
              <w:t>分）</w:t>
            </w: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1.质量保障方案（</w:t>
            </w:r>
            <w:r>
              <w:rPr>
                <w:rFonts w:ascii="宋体" w:hAnsi="宋体" w:eastAsia="宋体" w:cs="宋体"/>
                <w:szCs w:val="21"/>
              </w:rPr>
              <w:t>5</w:t>
            </w:r>
            <w:r>
              <w:rPr>
                <w:rFonts w:hint="eastAsia" w:ascii="宋体" w:hAnsi="宋体" w:eastAsia="宋体" w:cs="宋体"/>
                <w:szCs w:val="21"/>
              </w:rPr>
              <w:t>分）</w:t>
            </w:r>
          </w:p>
          <w:p>
            <w:pPr>
              <w:spacing w:line="276" w:lineRule="auto"/>
              <w:rPr>
                <w:rFonts w:ascii="宋体" w:hAnsi="宋体" w:eastAsia="宋体" w:cs="宋体"/>
                <w:szCs w:val="21"/>
              </w:rPr>
            </w:pPr>
            <w:r>
              <w:rPr>
                <w:rFonts w:hint="eastAsia" w:ascii="宋体" w:hAnsi="宋体" w:eastAsia="宋体" w:cs="宋体"/>
                <w:szCs w:val="21"/>
              </w:rPr>
              <w:t>根据各投标人的质量保证措施，质量方面能实行包换、包调、包退等三包，产品质量等进行评审。</w:t>
            </w:r>
          </w:p>
          <w:p>
            <w:pPr>
              <w:spacing w:line="276" w:lineRule="auto"/>
              <w:rPr>
                <w:rFonts w:ascii="宋体" w:hAnsi="宋体" w:eastAsia="宋体" w:cs="宋体"/>
                <w:szCs w:val="21"/>
              </w:rPr>
            </w:pPr>
            <w:r>
              <w:rPr>
                <w:rFonts w:hint="eastAsia" w:ascii="宋体" w:hAnsi="宋体" w:eastAsia="宋体" w:cs="宋体"/>
                <w:szCs w:val="21"/>
              </w:rPr>
              <w:t xml:space="preserve">质量保证措施详尽、完善，产品质量完全符合国家相关的质量标准要求的，得5分； </w:t>
            </w:r>
          </w:p>
          <w:p>
            <w:pPr>
              <w:spacing w:line="276" w:lineRule="auto"/>
              <w:rPr>
                <w:rFonts w:ascii="宋体" w:hAnsi="宋体" w:eastAsia="宋体" w:cs="宋体"/>
                <w:szCs w:val="21"/>
              </w:rPr>
            </w:pPr>
            <w:r>
              <w:rPr>
                <w:rFonts w:hint="eastAsia" w:ascii="宋体" w:hAnsi="宋体" w:eastAsia="宋体" w:cs="宋体"/>
                <w:szCs w:val="21"/>
              </w:rPr>
              <w:t xml:space="preserve">质量保证措施相对详尽、完善，产品质量符合国家相关的质量标准要求的，得3分； </w:t>
            </w:r>
          </w:p>
          <w:p>
            <w:pPr>
              <w:spacing w:line="276" w:lineRule="auto"/>
              <w:rPr>
                <w:rFonts w:ascii="宋体" w:hAnsi="宋体" w:eastAsia="宋体" w:cs="宋体"/>
                <w:szCs w:val="21"/>
              </w:rPr>
            </w:pPr>
            <w:r>
              <w:rPr>
                <w:rFonts w:hint="eastAsia" w:ascii="宋体" w:hAnsi="宋体" w:eastAsia="宋体" w:cs="宋体"/>
                <w:szCs w:val="21"/>
              </w:rPr>
              <w:t>质量保证措施不太完善，产品质量一般的，得1分；</w:t>
            </w:r>
          </w:p>
          <w:p>
            <w:pPr>
              <w:spacing w:line="276" w:lineRule="auto"/>
              <w:rPr>
                <w:rFonts w:ascii="宋体" w:hAnsi="宋体" w:eastAsia="宋体" w:cs="宋体"/>
                <w:kern w:val="0"/>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vMerge w:val="continue"/>
            <w:tcBorders>
              <w:left w:val="single" w:color="auto" w:sz="4" w:space="0"/>
              <w:right w:val="single" w:color="000000" w:sz="4" w:space="0"/>
            </w:tcBorders>
            <w:vAlign w:val="center"/>
          </w:tcPr>
          <w:p>
            <w:pPr>
              <w:spacing w:line="276" w:lineRule="auto"/>
              <w:jc w:val="center"/>
              <w:rPr>
                <w:rFonts w:ascii="宋体" w:hAnsi="宋体" w:eastAsia="宋体" w:cs="宋体"/>
                <w:szCs w:val="21"/>
              </w:rPr>
            </w:pP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2.供货方案（</w:t>
            </w:r>
            <w:r>
              <w:rPr>
                <w:rFonts w:ascii="宋体" w:hAnsi="宋体" w:eastAsia="宋体" w:cs="宋体"/>
                <w:szCs w:val="21"/>
              </w:rPr>
              <w:t>5</w:t>
            </w:r>
            <w:r>
              <w:rPr>
                <w:rFonts w:hint="eastAsia" w:ascii="宋体" w:hAnsi="宋体" w:eastAsia="宋体" w:cs="宋体"/>
                <w:szCs w:val="21"/>
              </w:rPr>
              <w:t>分）</w:t>
            </w:r>
          </w:p>
          <w:p>
            <w:pPr>
              <w:spacing w:line="440" w:lineRule="exact"/>
              <w:textAlignment w:val="baseline"/>
              <w:rPr>
                <w:rFonts w:ascii="宋体" w:hAnsi="宋体" w:eastAsia="宋体" w:cs="宋体"/>
                <w:szCs w:val="21"/>
              </w:rPr>
            </w:pPr>
            <w:r>
              <w:rPr>
                <w:rFonts w:hint="eastAsia" w:ascii="宋体" w:hAnsi="宋体" w:eastAsia="宋体" w:cs="宋体"/>
                <w:szCs w:val="21"/>
              </w:rPr>
              <w:t>根据各投标人针对本项目的具体的时间进度控制和供货安装安排，提供详细的人员、财力调配、运输措施进行评审。</w:t>
            </w:r>
          </w:p>
          <w:p>
            <w:pPr>
              <w:spacing w:line="440" w:lineRule="exact"/>
              <w:textAlignment w:val="baseline"/>
              <w:rPr>
                <w:rFonts w:ascii="宋体" w:hAnsi="宋体" w:eastAsia="宋体" w:cs="宋体"/>
                <w:szCs w:val="21"/>
              </w:rPr>
            </w:pPr>
            <w:r>
              <w:rPr>
                <w:rFonts w:hint="eastAsia" w:ascii="宋体" w:hAnsi="宋体" w:eastAsia="宋体" w:cs="宋体"/>
                <w:szCs w:val="21"/>
              </w:rPr>
              <w:t xml:space="preserve">供货安排完善合理，针对性强的得5分； </w:t>
            </w:r>
          </w:p>
          <w:p>
            <w:pPr>
              <w:spacing w:line="440" w:lineRule="exact"/>
              <w:textAlignment w:val="baseline"/>
              <w:rPr>
                <w:rFonts w:ascii="宋体" w:hAnsi="宋体" w:eastAsia="宋体" w:cs="宋体"/>
                <w:szCs w:val="21"/>
              </w:rPr>
            </w:pPr>
            <w:r>
              <w:rPr>
                <w:rFonts w:hint="eastAsia" w:ascii="宋体" w:hAnsi="宋体" w:eastAsia="宋体" w:cs="宋体"/>
                <w:szCs w:val="21"/>
              </w:rPr>
              <w:t>供货安排相对完善合理，针对性一般的得3分；</w:t>
            </w:r>
          </w:p>
          <w:p>
            <w:pPr>
              <w:spacing w:line="440" w:lineRule="exact"/>
              <w:textAlignment w:val="baseline"/>
              <w:rPr>
                <w:rFonts w:ascii="Times New Roman" w:hAnsi="Times New Roman" w:eastAsia="宋体" w:cs="Times New Roman"/>
                <w:szCs w:val="21"/>
              </w:rPr>
            </w:pPr>
            <w:r>
              <w:rPr>
                <w:rFonts w:hint="eastAsia" w:ascii="宋体" w:hAnsi="宋体" w:eastAsia="宋体" w:cs="宋体"/>
                <w:szCs w:val="21"/>
              </w:rPr>
              <w:t>供货安排不够完善合理，针对性差的得1分；</w:t>
            </w:r>
          </w:p>
          <w:p>
            <w:pPr>
              <w:spacing w:line="276" w:lineRule="auto"/>
              <w:rPr>
                <w:rFonts w:ascii="宋体" w:hAnsi="宋体" w:eastAsia="宋体" w:cs="宋体"/>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vMerge w:val="continue"/>
            <w:tcBorders>
              <w:left w:val="single" w:color="auto" w:sz="4" w:space="0"/>
              <w:bottom w:val="single" w:color="000000" w:sz="4" w:space="0"/>
              <w:right w:val="single" w:color="000000" w:sz="4" w:space="0"/>
            </w:tcBorders>
            <w:vAlign w:val="center"/>
          </w:tcPr>
          <w:p>
            <w:pPr>
              <w:spacing w:line="276" w:lineRule="auto"/>
              <w:jc w:val="center"/>
              <w:rPr>
                <w:rFonts w:ascii="宋体" w:hAnsi="宋体" w:eastAsia="宋体" w:cs="宋体"/>
                <w:szCs w:val="21"/>
              </w:rPr>
            </w:pP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w:t>
            </w:r>
            <w:r>
              <w:rPr>
                <w:rFonts w:hint="eastAsia" w:ascii="宋体" w:hAnsi="宋体" w:eastAsia="宋体" w:cs="Times New Roman"/>
                <w:szCs w:val="21"/>
              </w:rPr>
              <w:t>试</w:t>
            </w:r>
            <w:r>
              <w:rPr>
                <w:rFonts w:hint="eastAsia" w:ascii="宋体" w:hAnsi="宋体" w:eastAsia="宋体" w:cs="宋体"/>
                <w:szCs w:val="21"/>
              </w:rPr>
              <w:t>方案（</w:t>
            </w:r>
            <w:r>
              <w:rPr>
                <w:rFonts w:ascii="宋体" w:hAnsi="宋体" w:eastAsia="宋体" w:cs="宋体"/>
                <w:szCs w:val="21"/>
              </w:rPr>
              <w:t>5</w:t>
            </w:r>
            <w:r>
              <w:rPr>
                <w:rFonts w:hint="eastAsia" w:ascii="宋体" w:hAnsi="宋体" w:eastAsia="宋体" w:cs="宋体"/>
                <w:szCs w:val="21"/>
              </w:rPr>
              <w:t>分）</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根据</w:t>
            </w:r>
            <w:r>
              <w:rPr>
                <w:rFonts w:hint="eastAsia" w:ascii="宋体" w:hAnsi="宋体" w:eastAsia="宋体" w:cs="宋体"/>
                <w:szCs w:val="21"/>
              </w:rPr>
              <w:t>各投标人</w:t>
            </w:r>
            <w:r>
              <w:rPr>
                <w:rFonts w:hint="eastAsia" w:ascii="宋体" w:hAnsi="宋体" w:eastAsia="宋体" w:cs="Times New Roman"/>
                <w:szCs w:val="21"/>
              </w:rPr>
              <w:t>针对本项目有具体安装、调试措施进行评审打分。</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 xml:space="preserve">安装调试方案完善合理，针对性强的得5分； </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安装调试方案相对完善合理，针对性一般的得3分；</w:t>
            </w:r>
          </w:p>
          <w:p>
            <w:pPr>
              <w:spacing w:line="440" w:lineRule="exact"/>
              <w:textAlignment w:val="baseline"/>
              <w:rPr>
                <w:rFonts w:ascii="Times New Roman" w:hAnsi="Times New Roman" w:eastAsia="宋体" w:cs="Times New Roman"/>
                <w:szCs w:val="21"/>
              </w:rPr>
            </w:pPr>
            <w:r>
              <w:rPr>
                <w:rFonts w:hint="eastAsia" w:ascii="宋体" w:hAnsi="宋体" w:eastAsia="宋体" w:cs="Times New Roman"/>
                <w:szCs w:val="21"/>
              </w:rPr>
              <w:t>安装调试方案一般，针对性差的得1分；</w:t>
            </w:r>
          </w:p>
          <w:p>
            <w:pPr>
              <w:spacing w:line="276" w:lineRule="auto"/>
              <w:rPr>
                <w:rFonts w:ascii="宋体" w:hAnsi="宋体" w:eastAsia="宋体" w:cs="宋体"/>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left w:val="single" w:color="auto" w:sz="4" w:space="0"/>
              <w:bottom w:val="single" w:color="000000"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tcBorders>
              <w:top w:val="single" w:color="000000" w:sz="4" w:space="0"/>
              <w:left w:val="single" w:color="auto" w:sz="4" w:space="0"/>
              <w:bottom w:val="single" w:color="000000" w:sz="4" w:space="0"/>
              <w:right w:val="single" w:color="000000"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szCs w:val="21"/>
              </w:rPr>
              <w:t>技术部分（40分）</w:t>
            </w:r>
          </w:p>
        </w:tc>
        <w:tc>
          <w:tcPr>
            <w:tcW w:w="2964" w:type="pct"/>
            <w:tcBorders>
              <w:top w:val="single" w:color="auto" w:sz="4" w:space="0"/>
              <w:left w:val="single" w:color="auto" w:sz="4" w:space="0"/>
              <w:bottom w:val="single" w:color="000000" w:sz="4" w:space="0"/>
              <w:right w:val="single" w:color="000000" w:sz="4" w:space="0"/>
            </w:tcBorders>
            <w:vAlign w:val="center"/>
          </w:tcPr>
          <w:p>
            <w:pPr>
              <w:spacing w:line="276" w:lineRule="auto"/>
              <w:rPr>
                <w:rFonts w:ascii="宋体" w:hAnsi="宋体" w:eastAsia="宋体" w:cs="Times New Roman"/>
                <w:szCs w:val="21"/>
              </w:rPr>
            </w:pPr>
            <w:r>
              <w:rPr>
                <w:rFonts w:hint="eastAsia" w:ascii="宋体" w:hAnsi="宋体" w:eastAsia="宋体" w:cs="Times New Roman"/>
                <w:szCs w:val="21"/>
              </w:rPr>
              <w:t>1.投标文件中每有一条不满足招标文件中“</w:t>
            </w:r>
            <w:r>
              <w:rPr>
                <w:rFonts w:hint="eastAsia" w:ascii="宋体" w:hAnsi="宋体" w:eastAsia="宋体" w:cs="宋体"/>
                <w:szCs w:val="21"/>
              </w:rPr>
              <w:t>★</w:t>
            </w:r>
            <w:r>
              <w:rPr>
                <w:rFonts w:hint="eastAsia" w:ascii="宋体" w:hAnsi="宋体" w:eastAsia="宋体" w:cs="Times New Roman"/>
                <w:szCs w:val="21"/>
              </w:rPr>
              <w:t>”技术要求的，扣1分，扣完为止，不计负分。</w:t>
            </w:r>
          </w:p>
          <w:p>
            <w:pPr>
              <w:spacing w:line="276" w:lineRule="auto"/>
              <w:rPr>
                <w:rFonts w:ascii="宋体" w:hAnsi="宋体" w:eastAsia="宋体" w:cs="Times New Roman"/>
                <w:szCs w:val="21"/>
              </w:rPr>
            </w:pPr>
            <w:r>
              <w:rPr>
                <w:rFonts w:hint="eastAsia" w:ascii="宋体" w:hAnsi="宋体" w:eastAsia="宋体" w:cs="Times New Roman"/>
                <w:szCs w:val="21"/>
              </w:rPr>
              <w:t>2. 投标文件中每有一条不满足招标文件中非“</w:t>
            </w:r>
            <w:r>
              <w:rPr>
                <w:rFonts w:hint="eastAsia" w:ascii="宋体" w:hAnsi="宋体" w:eastAsia="宋体" w:cs="宋体"/>
                <w:szCs w:val="21"/>
              </w:rPr>
              <w:t>★</w:t>
            </w:r>
            <w:r>
              <w:rPr>
                <w:rFonts w:hint="eastAsia" w:ascii="宋体" w:hAnsi="宋体" w:eastAsia="宋体" w:cs="Times New Roman"/>
                <w:szCs w:val="21"/>
              </w:rPr>
              <w:t>”技术要求的，扣0.5分，扣完为止，不计负分。</w:t>
            </w:r>
          </w:p>
        </w:tc>
      </w:tr>
    </w:tbl>
    <w:p>
      <w:pPr>
        <w:spacing w:line="360" w:lineRule="auto"/>
        <w:ind w:firstLine="420" w:firstLineChars="200"/>
        <w:rPr>
          <w:rFonts w:asciiTheme="minorEastAsia" w:hAnsiTheme="minorEastAsia"/>
          <w:sz w:val="24"/>
          <w:szCs w:val="28"/>
        </w:rPr>
      </w:pPr>
      <w:r>
        <w:rPr>
          <w:rFonts w:asciiTheme="minorEastAsia" w:hAnsiTheme="minorEastAsia"/>
        </w:rPr>
        <w:br w:type="page"/>
      </w:r>
    </w:p>
    <w:p>
      <w:pPr>
        <w:pStyle w:val="5"/>
        <w:spacing w:before="0" w:after="0" w:line="360" w:lineRule="auto"/>
        <w:rPr>
          <w:rFonts w:asciiTheme="minorEastAsia" w:hAnsiTheme="minorEastAsia"/>
          <w:sz w:val="28"/>
        </w:rPr>
      </w:pPr>
      <w:bookmarkStart w:id="30" w:name="_Toc143350524"/>
      <w:r>
        <w:rPr>
          <w:rFonts w:hint="eastAsia" w:asciiTheme="minorEastAsia" w:hAnsiTheme="minorEastAsia"/>
          <w:sz w:val="28"/>
        </w:rPr>
        <w:t>1.</w:t>
      </w:r>
      <w:r>
        <w:rPr>
          <w:rFonts w:asciiTheme="minorEastAsia" w:hAnsiTheme="minorEastAsia"/>
          <w:sz w:val="28"/>
        </w:rPr>
        <w:t>评标依据</w:t>
      </w:r>
      <w:bookmarkEnd w:id="24"/>
      <w:bookmarkEnd w:id="25"/>
      <w:bookmarkEnd w:id="26"/>
      <w:bookmarkEnd w:id="27"/>
      <w:bookmarkEnd w:id="28"/>
      <w:bookmarkEnd w:id="29"/>
      <w:bookmarkEnd w:id="30"/>
    </w:p>
    <w:p>
      <w:pPr>
        <w:spacing w:line="360" w:lineRule="auto"/>
        <w:ind w:firstLine="420"/>
        <w:rPr>
          <w:sz w:val="24"/>
          <w:szCs w:val="24"/>
        </w:rPr>
      </w:pPr>
      <w:r>
        <w:rPr>
          <w:rFonts w:hint="eastAsia" w:asciiTheme="minorEastAsia" w:hAnsiTheme="minorEastAsia" w:cstheme="minorEastAsia"/>
          <w:sz w:val="24"/>
          <w:szCs w:val="24"/>
        </w:rPr>
        <w:t>1.1</w:t>
      </w:r>
      <w:r>
        <w:rPr>
          <w:sz w:val="24"/>
          <w:szCs w:val="24"/>
        </w:rPr>
        <w:t>《中华人民共和国政府采购法》；</w:t>
      </w:r>
    </w:p>
    <w:p>
      <w:pPr>
        <w:spacing w:line="360" w:lineRule="auto"/>
        <w:ind w:firstLine="420"/>
        <w:rPr>
          <w:sz w:val="24"/>
          <w:szCs w:val="24"/>
        </w:rPr>
      </w:pPr>
      <w:r>
        <w:rPr>
          <w:rFonts w:hint="eastAsia" w:asciiTheme="minorEastAsia" w:hAnsiTheme="minorEastAsia" w:cstheme="minorEastAsia"/>
          <w:sz w:val="24"/>
          <w:szCs w:val="24"/>
        </w:rPr>
        <w:t>1.2</w:t>
      </w:r>
      <w:r>
        <w:rPr>
          <w:sz w:val="24"/>
          <w:szCs w:val="24"/>
        </w:rPr>
        <w:t>《中华人民共和国政府采购法实施条例》；</w:t>
      </w:r>
    </w:p>
    <w:p>
      <w:pPr>
        <w:spacing w:line="360" w:lineRule="auto"/>
        <w:ind w:firstLine="420"/>
        <w:rPr>
          <w:sz w:val="24"/>
          <w:szCs w:val="24"/>
        </w:rPr>
      </w:pPr>
      <w:r>
        <w:rPr>
          <w:rFonts w:hint="eastAsia" w:asciiTheme="minorEastAsia" w:hAnsiTheme="minorEastAsia" w:cstheme="minorEastAsia"/>
          <w:sz w:val="24"/>
          <w:szCs w:val="24"/>
        </w:rPr>
        <w:t>1.3</w:t>
      </w:r>
      <w:r>
        <w:rPr>
          <w:sz w:val="24"/>
          <w:szCs w:val="24"/>
        </w:rPr>
        <w:t>《政府采购货物和服务招标投标管理办法》（财政部第</w:t>
      </w:r>
      <w:r>
        <w:rPr>
          <w:rFonts w:hint="eastAsia" w:asciiTheme="minorEastAsia" w:hAnsiTheme="minorEastAsia"/>
          <w:sz w:val="24"/>
          <w:szCs w:val="28"/>
        </w:rPr>
        <w:t>87</w:t>
      </w:r>
      <w:r>
        <w:rPr>
          <w:sz w:val="24"/>
          <w:szCs w:val="24"/>
        </w:rPr>
        <w:t>号令）；</w:t>
      </w:r>
    </w:p>
    <w:p>
      <w:pPr>
        <w:spacing w:line="360" w:lineRule="auto"/>
        <w:ind w:firstLine="420"/>
        <w:rPr>
          <w:sz w:val="24"/>
          <w:szCs w:val="24"/>
        </w:rPr>
      </w:pPr>
      <w:r>
        <w:rPr>
          <w:rFonts w:hint="eastAsia" w:asciiTheme="minorEastAsia" w:hAnsiTheme="minorEastAsia" w:cstheme="minorEastAsia"/>
          <w:sz w:val="24"/>
          <w:szCs w:val="24"/>
        </w:rPr>
        <w:t>1.4</w:t>
      </w:r>
      <w:r>
        <w:rPr>
          <w:sz w:val="24"/>
          <w:szCs w:val="24"/>
        </w:rPr>
        <w:t>政府采购相关法律法规及本招标文件。</w:t>
      </w:r>
    </w:p>
    <w:p>
      <w:pPr>
        <w:pStyle w:val="5"/>
        <w:spacing w:before="0" w:after="0" w:line="360" w:lineRule="auto"/>
        <w:rPr>
          <w:rFonts w:asciiTheme="minorEastAsia" w:hAnsiTheme="minorEastAsia"/>
          <w:sz w:val="28"/>
        </w:rPr>
      </w:pPr>
      <w:bookmarkStart w:id="31" w:name="_Toc143350525"/>
      <w:bookmarkStart w:id="32" w:name="_Toc13068791"/>
      <w:bookmarkStart w:id="33" w:name="_Toc13052731"/>
      <w:bookmarkStart w:id="34" w:name="_Toc13053544"/>
      <w:bookmarkStart w:id="35" w:name="_Toc26445305"/>
      <w:bookmarkStart w:id="36" w:name="_Toc14946169"/>
      <w:bookmarkStart w:id="37" w:name="_Toc11072949"/>
      <w:r>
        <w:rPr>
          <w:rFonts w:asciiTheme="minorEastAsia" w:hAnsiTheme="minorEastAsia"/>
          <w:sz w:val="28"/>
        </w:rPr>
        <w:t>2.评标委员会</w:t>
      </w:r>
      <w:bookmarkEnd w:id="31"/>
      <w:bookmarkEnd w:id="32"/>
      <w:bookmarkEnd w:id="33"/>
      <w:bookmarkEnd w:id="34"/>
      <w:bookmarkEnd w:id="35"/>
      <w:bookmarkEnd w:id="36"/>
      <w:bookmarkEnd w:id="37"/>
    </w:p>
    <w:p>
      <w:pPr>
        <w:spacing w:line="360" w:lineRule="auto"/>
        <w:ind w:firstLine="420"/>
        <w:rPr>
          <w:sz w:val="24"/>
          <w:szCs w:val="24"/>
        </w:rPr>
      </w:pPr>
      <w:r>
        <w:rPr>
          <w:rFonts w:hint="eastAsia" w:asciiTheme="minorEastAsia" w:hAnsiTheme="minorEastAsia" w:cstheme="minorEastAsia"/>
          <w:sz w:val="24"/>
          <w:szCs w:val="24"/>
        </w:rPr>
        <w:t>2.1</w:t>
      </w:r>
      <w:r>
        <w:rPr>
          <w:sz w:val="24"/>
          <w:szCs w:val="24"/>
        </w:rPr>
        <w:t>采购人将根据招标采购</w:t>
      </w:r>
      <w:r>
        <w:rPr>
          <w:rFonts w:hint="eastAsia"/>
          <w:sz w:val="24"/>
          <w:szCs w:val="24"/>
        </w:rPr>
        <w:t>项目</w:t>
      </w:r>
      <w:r>
        <w:rPr>
          <w:sz w:val="24"/>
          <w:szCs w:val="24"/>
        </w:rPr>
        <w:t>的特点依法组建</w:t>
      </w:r>
      <w:r>
        <w:rPr>
          <w:rFonts w:hint="eastAsia" w:asciiTheme="minorEastAsia" w:hAnsiTheme="minorEastAsia"/>
          <w:sz w:val="24"/>
          <w:szCs w:val="28"/>
        </w:rPr>
        <w:t>5</w:t>
      </w:r>
      <w:r>
        <w:rPr>
          <w:sz w:val="24"/>
          <w:szCs w:val="24"/>
        </w:rPr>
        <w:t>人评标委员会，除国务院财政部门规定的情形外，其成员由从河南省政府采购专家库中随机抽取的评审专家和采购人代表组成，其中评审专家不得少于成员总数的三分之二。</w:t>
      </w:r>
    </w:p>
    <w:p>
      <w:pPr>
        <w:spacing w:line="360" w:lineRule="auto"/>
        <w:ind w:firstLine="420"/>
        <w:rPr>
          <w:sz w:val="24"/>
          <w:szCs w:val="24"/>
        </w:rPr>
      </w:pPr>
      <w:r>
        <w:rPr>
          <w:rFonts w:hint="eastAsia" w:asciiTheme="minorEastAsia" w:hAnsiTheme="minorEastAsia" w:cstheme="minorEastAsia"/>
          <w:sz w:val="24"/>
          <w:szCs w:val="24"/>
        </w:rPr>
        <w:t>2.2</w:t>
      </w:r>
      <w:r>
        <w:rPr>
          <w:sz w:val="24"/>
          <w:szCs w:val="24"/>
        </w:rPr>
        <w:t>评审专家与参加采购活动的</w:t>
      </w:r>
      <w:r>
        <w:rPr>
          <w:rFonts w:hint="eastAsia"/>
          <w:sz w:val="24"/>
          <w:szCs w:val="24"/>
        </w:rPr>
        <w:t>供应商</w:t>
      </w:r>
      <w:r>
        <w:rPr>
          <w:sz w:val="24"/>
          <w:szCs w:val="24"/>
        </w:rPr>
        <w:t>存在下列利害关系之一的</w:t>
      </w:r>
      <w:r>
        <w:rPr>
          <w:rFonts w:hint="eastAsia"/>
          <w:sz w:val="24"/>
          <w:szCs w:val="24"/>
        </w:rPr>
        <w:t>，</w:t>
      </w:r>
      <w:r>
        <w:rPr>
          <w:sz w:val="24"/>
          <w:szCs w:val="24"/>
        </w:rPr>
        <w:t>应当回避</w:t>
      </w:r>
      <w:r>
        <w:rPr>
          <w:rFonts w:hint="eastAsia"/>
          <w:sz w:val="24"/>
          <w:szCs w:val="24"/>
        </w:rPr>
        <w:t>：</w:t>
      </w:r>
    </w:p>
    <w:p>
      <w:pPr>
        <w:spacing w:line="360" w:lineRule="auto"/>
        <w:ind w:firstLine="420"/>
        <w:rPr>
          <w:sz w:val="24"/>
          <w:szCs w:val="24"/>
        </w:rPr>
      </w:pPr>
      <w:r>
        <w:rPr>
          <w:rFonts w:hint="eastAsia" w:asciiTheme="minorEastAsia" w:hAnsiTheme="minorEastAsia" w:cstheme="minorEastAsia"/>
          <w:sz w:val="24"/>
          <w:szCs w:val="24"/>
        </w:rPr>
        <w:t>（1）</w:t>
      </w:r>
      <w:r>
        <w:rPr>
          <w:sz w:val="24"/>
          <w:szCs w:val="24"/>
        </w:rPr>
        <w:t>参加采购活动前三年内</w:t>
      </w:r>
      <w:r>
        <w:rPr>
          <w:rFonts w:hint="eastAsia"/>
          <w:sz w:val="24"/>
          <w:szCs w:val="24"/>
        </w:rPr>
        <w:t>，</w:t>
      </w:r>
      <w:r>
        <w:rPr>
          <w:sz w:val="24"/>
          <w:szCs w:val="24"/>
        </w:rPr>
        <w:t>与投标人存在劳动关系</w:t>
      </w:r>
      <w:r>
        <w:rPr>
          <w:rFonts w:hint="eastAsia"/>
          <w:sz w:val="24"/>
          <w:szCs w:val="24"/>
        </w:rPr>
        <w:t>，</w:t>
      </w:r>
      <w:r>
        <w:rPr>
          <w:sz w:val="24"/>
          <w:szCs w:val="24"/>
        </w:rPr>
        <w:t>或者担任过投标人的董事、监事</w:t>
      </w:r>
      <w:r>
        <w:rPr>
          <w:rFonts w:hint="eastAsia"/>
          <w:sz w:val="24"/>
          <w:szCs w:val="24"/>
        </w:rPr>
        <w:t>，</w:t>
      </w:r>
      <w:r>
        <w:rPr>
          <w:sz w:val="24"/>
          <w:szCs w:val="24"/>
        </w:rPr>
        <w:t>或者是投标人的控股股东或实际控制人；</w:t>
      </w:r>
    </w:p>
    <w:p>
      <w:pPr>
        <w:spacing w:line="360" w:lineRule="auto"/>
        <w:ind w:firstLine="420"/>
        <w:rPr>
          <w:sz w:val="24"/>
          <w:szCs w:val="24"/>
        </w:rPr>
      </w:pPr>
      <w:bookmarkStart w:id="38" w:name="_Toc25767710"/>
      <w:bookmarkStart w:id="39" w:name="_Toc26178994"/>
      <w:bookmarkStart w:id="40" w:name="_Toc26445306"/>
      <w:r>
        <w:rPr>
          <w:rFonts w:hint="eastAsia" w:asciiTheme="minorEastAsia" w:hAnsiTheme="minorEastAsia" w:cstheme="minorEastAsia"/>
          <w:sz w:val="24"/>
          <w:szCs w:val="24"/>
        </w:rPr>
        <w:t>（2）</w:t>
      </w:r>
      <w:r>
        <w:rPr>
          <w:sz w:val="24"/>
          <w:szCs w:val="24"/>
        </w:rPr>
        <w:t>与投标人的法定代表人或者负责人有夫妻、直系血亲、三代以内旁系血亲或者近姻亲关系；</w:t>
      </w:r>
      <w:bookmarkEnd w:id="38"/>
      <w:bookmarkEnd w:id="39"/>
      <w:bookmarkEnd w:id="40"/>
    </w:p>
    <w:p>
      <w:pPr>
        <w:spacing w:line="360" w:lineRule="auto"/>
        <w:ind w:firstLine="420"/>
        <w:rPr>
          <w:sz w:val="24"/>
          <w:szCs w:val="24"/>
        </w:rPr>
      </w:pPr>
      <w:r>
        <w:rPr>
          <w:rFonts w:hint="eastAsia" w:asciiTheme="minorEastAsia" w:hAnsiTheme="minorEastAsia" w:cstheme="minorEastAsia"/>
          <w:sz w:val="24"/>
          <w:szCs w:val="24"/>
        </w:rPr>
        <w:t>（3）</w:t>
      </w:r>
      <w:r>
        <w:rPr>
          <w:sz w:val="24"/>
          <w:szCs w:val="24"/>
        </w:rPr>
        <w:t>与投标人有其他可能影响政府采购活动公平、公正进行的关系。</w:t>
      </w:r>
    </w:p>
    <w:p>
      <w:pPr>
        <w:spacing w:line="360" w:lineRule="auto"/>
        <w:ind w:firstLine="420"/>
        <w:rPr>
          <w:sz w:val="24"/>
          <w:szCs w:val="24"/>
        </w:rPr>
      </w:pPr>
      <w:r>
        <w:rPr>
          <w:sz w:val="24"/>
          <w:szCs w:val="24"/>
        </w:rPr>
        <w:t>评审专家发现本人与参加采购活动的投标人有利害关系的</w:t>
      </w:r>
      <w:r>
        <w:rPr>
          <w:rFonts w:hint="eastAsia"/>
          <w:sz w:val="24"/>
          <w:szCs w:val="24"/>
        </w:rPr>
        <w:t>，</w:t>
      </w:r>
      <w:r>
        <w:rPr>
          <w:sz w:val="24"/>
          <w:szCs w:val="24"/>
        </w:rPr>
        <w:t>应当主动提出回避。采购人或者采购代理机构发现评审专家与参加采购活动的投标人有利害关系的</w:t>
      </w:r>
      <w:r>
        <w:rPr>
          <w:rFonts w:hint="eastAsia"/>
          <w:sz w:val="24"/>
          <w:szCs w:val="24"/>
        </w:rPr>
        <w:t>，</w:t>
      </w:r>
      <w:r>
        <w:rPr>
          <w:sz w:val="24"/>
          <w:szCs w:val="24"/>
        </w:rPr>
        <w:t>应当要求其回避。</w:t>
      </w:r>
    </w:p>
    <w:p>
      <w:pPr>
        <w:spacing w:line="360" w:lineRule="auto"/>
        <w:ind w:firstLine="420"/>
        <w:rPr>
          <w:sz w:val="24"/>
          <w:szCs w:val="24"/>
        </w:rPr>
      </w:pPr>
      <w:r>
        <w:rPr>
          <w:rFonts w:hint="eastAsia" w:asciiTheme="minorEastAsia" w:hAnsiTheme="minorEastAsia" w:cstheme="minorEastAsia"/>
          <w:sz w:val="24"/>
          <w:szCs w:val="24"/>
        </w:rPr>
        <w:t>2.3</w:t>
      </w:r>
      <w:r>
        <w:rPr>
          <w:sz w:val="24"/>
          <w:szCs w:val="24"/>
        </w:rPr>
        <w:t>因</w:t>
      </w:r>
      <w:r>
        <w:rPr>
          <w:rFonts w:hint="eastAsia"/>
          <w:sz w:val="24"/>
          <w:szCs w:val="24"/>
        </w:rPr>
        <w:t>评审专家</w:t>
      </w:r>
      <w:r>
        <w:rPr>
          <w:sz w:val="24"/>
          <w:szCs w:val="24"/>
        </w:rPr>
        <w:t>缺席、回避或者健康等原因导致</w:t>
      </w:r>
      <w:r>
        <w:rPr>
          <w:rFonts w:hint="eastAsia"/>
          <w:sz w:val="24"/>
          <w:szCs w:val="24"/>
        </w:rPr>
        <w:t>评审现场专家数量</w:t>
      </w:r>
      <w:r>
        <w:rPr>
          <w:sz w:val="24"/>
          <w:szCs w:val="24"/>
        </w:rPr>
        <w:t>不符合规定的，采购人或者采购代理机构</w:t>
      </w:r>
      <w:r>
        <w:rPr>
          <w:rFonts w:hint="eastAsia"/>
          <w:sz w:val="24"/>
          <w:szCs w:val="24"/>
        </w:rPr>
        <w:t>应当及时补抽评审专家，或者经采购人主管预算单位同意自行选定补足评审专家。</w:t>
      </w:r>
      <w:r>
        <w:rPr>
          <w:sz w:val="24"/>
          <w:szCs w:val="24"/>
        </w:rPr>
        <w:t>无法及时补足</w:t>
      </w:r>
      <w:r>
        <w:rPr>
          <w:rFonts w:hint="eastAsia"/>
          <w:sz w:val="24"/>
          <w:szCs w:val="24"/>
        </w:rPr>
        <w:t>评审专家</w:t>
      </w:r>
      <w:r>
        <w:rPr>
          <w:sz w:val="24"/>
          <w:szCs w:val="24"/>
        </w:rPr>
        <w:t>的，采购人或者采购代理机构应当</w:t>
      </w:r>
      <w:r>
        <w:rPr>
          <w:rFonts w:hint="eastAsia"/>
          <w:sz w:val="24"/>
          <w:szCs w:val="24"/>
        </w:rPr>
        <w:t>立即</w:t>
      </w:r>
      <w:r>
        <w:rPr>
          <w:sz w:val="24"/>
          <w:szCs w:val="24"/>
        </w:rPr>
        <w:t>停止评</w:t>
      </w:r>
      <w:r>
        <w:rPr>
          <w:rFonts w:hint="eastAsia"/>
          <w:sz w:val="24"/>
          <w:szCs w:val="24"/>
        </w:rPr>
        <w:t>审工作</w:t>
      </w:r>
      <w:r>
        <w:rPr>
          <w:sz w:val="24"/>
          <w:szCs w:val="24"/>
        </w:rPr>
        <w:t>，封存所有投标文件和</w:t>
      </w:r>
      <w:r>
        <w:rPr>
          <w:rFonts w:hint="eastAsia"/>
          <w:sz w:val="24"/>
          <w:szCs w:val="24"/>
        </w:rPr>
        <w:t>相关</w:t>
      </w:r>
      <w:r>
        <w:rPr>
          <w:sz w:val="24"/>
          <w:szCs w:val="24"/>
        </w:rPr>
        <w:t>资料，依法重新组建评标委员会进行</w:t>
      </w:r>
      <w:r>
        <w:rPr>
          <w:rFonts w:hint="eastAsia"/>
          <w:sz w:val="24"/>
          <w:szCs w:val="24"/>
        </w:rPr>
        <w:t>评审</w:t>
      </w:r>
      <w:r>
        <w:rPr>
          <w:sz w:val="24"/>
          <w:szCs w:val="24"/>
        </w:rPr>
        <w:t>。</w:t>
      </w:r>
    </w:p>
    <w:p>
      <w:pPr>
        <w:spacing w:line="360" w:lineRule="auto"/>
        <w:ind w:firstLine="420"/>
        <w:rPr>
          <w:sz w:val="24"/>
          <w:szCs w:val="24"/>
        </w:rPr>
      </w:pPr>
      <w:r>
        <w:rPr>
          <w:rFonts w:hint="eastAsia" w:asciiTheme="minorEastAsia" w:hAnsiTheme="minorEastAsia" w:cstheme="minorEastAsia"/>
          <w:sz w:val="24"/>
          <w:szCs w:val="24"/>
        </w:rPr>
        <w:t>2.4</w:t>
      </w:r>
      <w:r>
        <w:rPr>
          <w:sz w:val="24"/>
          <w:szCs w:val="24"/>
        </w:rPr>
        <w:t>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pPr>
        <w:pStyle w:val="5"/>
        <w:spacing w:before="0" w:after="0" w:line="360" w:lineRule="auto"/>
        <w:rPr>
          <w:rFonts w:asciiTheme="minorEastAsia" w:hAnsiTheme="minorEastAsia"/>
          <w:sz w:val="28"/>
        </w:rPr>
      </w:pPr>
      <w:bookmarkStart w:id="41" w:name="_Toc143350526"/>
      <w:r>
        <w:rPr>
          <w:rFonts w:hint="eastAsia" w:asciiTheme="minorEastAsia" w:hAnsiTheme="minorEastAsia"/>
          <w:sz w:val="28"/>
        </w:rPr>
        <w:t>3</w:t>
      </w:r>
      <w:r>
        <w:rPr>
          <w:rFonts w:asciiTheme="minorEastAsia" w:hAnsiTheme="minorEastAsia"/>
          <w:sz w:val="28"/>
        </w:rPr>
        <w:t>.</w:t>
      </w:r>
      <w:r>
        <w:rPr>
          <w:rFonts w:hint="eastAsia" w:asciiTheme="minorEastAsia" w:hAnsiTheme="minorEastAsia"/>
          <w:sz w:val="28"/>
        </w:rPr>
        <w:t>评标方法与标准</w:t>
      </w:r>
      <w:bookmarkEnd w:id="41"/>
    </w:p>
    <w:p>
      <w:pPr>
        <w:spacing w:line="360" w:lineRule="auto"/>
        <w:ind w:firstLine="420"/>
        <w:rPr>
          <w:sz w:val="24"/>
          <w:szCs w:val="24"/>
        </w:rPr>
      </w:pPr>
      <w:r>
        <w:rPr>
          <w:rFonts w:hint="eastAsia" w:asciiTheme="minorEastAsia" w:hAnsiTheme="minorEastAsia" w:cstheme="minorEastAsia"/>
          <w:sz w:val="24"/>
          <w:szCs w:val="24"/>
        </w:rPr>
        <w:t>3.1</w:t>
      </w:r>
      <w:r>
        <w:rPr>
          <w:sz w:val="24"/>
          <w:szCs w:val="24"/>
        </w:rPr>
        <w:t>本次招标采用综合评分法。</w:t>
      </w:r>
    </w:p>
    <w:p>
      <w:pPr>
        <w:spacing w:line="360" w:lineRule="auto"/>
        <w:ind w:firstLine="420"/>
        <w:rPr>
          <w:rFonts w:asciiTheme="minorEastAsia" w:hAnsiTheme="minorEastAsia"/>
          <w:sz w:val="24"/>
          <w:szCs w:val="28"/>
        </w:rPr>
      </w:pPr>
      <w:r>
        <w:rPr>
          <w:sz w:val="24"/>
          <w:szCs w:val="24"/>
        </w:rPr>
        <w:t>评标委员会按照本章规定的评审因素和评分标准进行打分，并按得分由高到低顺序推荐</w:t>
      </w:r>
      <w:r>
        <w:rPr>
          <w:rFonts w:hint="eastAsia" w:asciiTheme="minorEastAsia" w:hAnsiTheme="minorEastAsia"/>
          <w:sz w:val="24"/>
          <w:szCs w:val="28"/>
        </w:rPr>
        <w:t>3</w:t>
      </w:r>
      <w:r>
        <w:rPr>
          <w:sz w:val="24"/>
          <w:szCs w:val="24"/>
        </w:rPr>
        <w:t>名中标候选人。</w:t>
      </w:r>
      <w:r>
        <w:rPr>
          <w:rFonts w:hint="eastAsia" w:asciiTheme="minorEastAsia" w:hAnsiTheme="minorEastAsia"/>
          <w:sz w:val="24"/>
          <w:szCs w:val="28"/>
        </w:rPr>
        <w:t>如最后得分相同的，按投标报价由低到高顺序排列。得分且投标报价相同的并列。</w:t>
      </w:r>
    </w:p>
    <w:p>
      <w:pPr>
        <w:spacing w:line="360" w:lineRule="auto"/>
        <w:ind w:firstLine="420"/>
        <w:rPr>
          <w:sz w:val="24"/>
          <w:szCs w:val="24"/>
        </w:rPr>
      </w:pPr>
      <w:r>
        <w:rPr>
          <w:rFonts w:hint="eastAsia" w:asciiTheme="minorEastAsia" w:hAnsiTheme="minorEastAsia" w:cstheme="minorEastAsia"/>
          <w:sz w:val="24"/>
          <w:szCs w:val="24"/>
        </w:rPr>
        <w:t>3.2</w:t>
      </w:r>
      <w:r>
        <w:rPr>
          <w:sz w:val="24"/>
          <w:szCs w:val="24"/>
        </w:rPr>
        <w:t>采购人或者采购代理机构负责组织评标工作，并履行相关职责；评标委员会负责具体评标事务，并独立履行相关职责。</w:t>
      </w:r>
    </w:p>
    <w:p>
      <w:pPr>
        <w:spacing w:line="360" w:lineRule="auto"/>
        <w:ind w:firstLine="420"/>
        <w:rPr>
          <w:sz w:val="24"/>
          <w:szCs w:val="24"/>
        </w:rPr>
      </w:pPr>
      <w:r>
        <w:rPr>
          <w:rFonts w:hint="eastAsia" w:asciiTheme="minorEastAsia" w:hAnsiTheme="minorEastAsia" w:cstheme="minorEastAsia"/>
          <w:sz w:val="24"/>
          <w:szCs w:val="24"/>
        </w:rPr>
        <w:t>3.3</w:t>
      </w:r>
      <w:r>
        <w:rPr>
          <w:rFonts w:hint="eastAsia"/>
          <w:sz w:val="24"/>
          <w:szCs w:val="24"/>
        </w:rPr>
        <w:t>评标步骤</w:t>
      </w:r>
    </w:p>
    <w:p>
      <w:pPr>
        <w:spacing w:line="360" w:lineRule="auto"/>
        <w:ind w:firstLine="480" w:firstLineChars="200"/>
        <w:rPr>
          <w:rFonts w:asciiTheme="minorEastAsia" w:hAnsiTheme="minorEastAsia"/>
          <w:b/>
          <w:sz w:val="24"/>
          <w:szCs w:val="28"/>
        </w:rPr>
      </w:pPr>
      <w:r>
        <w:rPr>
          <w:rFonts w:hint="eastAsia" w:asciiTheme="minorEastAsia" w:hAnsiTheme="minorEastAsia"/>
          <w:sz w:val="24"/>
          <w:szCs w:val="28"/>
        </w:rPr>
        <w:t>3</w:t>
      </w:r>
      <w:r>
        <w:rPr>
          <w:rFonts w:asciiTheme="minorEastAsia" w:hAnsiTheme="minorEastAsia"/>
          <w:sz w:val="24"/>
          <w:szCs w:val="28"/>
        </w:rPr>
        <w:t>.3.1</w:t>
      </w:r>
      <w:r>
        <w:rPr>
          <w:rFonts w:hint="eastAsia" w:asciiTheme="minorEastAsia" w:hAnsiTheme="minorEastAsia"/>
          <w:sz w:val="24"/>
          <w:szCs w:val="28"/>
        </w:rPr>
        <w:t>资格审查</w:t>
      </w:r>
    </w:p>
    <w:p>
      <w:pPr>
        <w:spacing w:line="360" w:lineRule="auto"/>
        <w:ind w:firstLine="420"/>
        <w:rPr>
          <w:rFonts w:asciiTheme="minorEastAsia" w:hAnsiTheme="minorEastAsia"/>
          <w:sz w:val="24"/>
          <w:szCs w:val="28"/>
        </w:rPr>
      </w:pPr>
      <w:r>
        <w:rPr>
          <w:rFonts w:hint="eastAsia" w:asciiTheme="minorEastAsia" w:hAnsiTheme="minorEastAsia"/>
          <w:sz w:val="24"/>
          <w:szCs w:val="28"/>
        </w:rPr>
        <w:t>开标结束后，采购人或者采购代理机构依法对投标人的资格进行审查。合格投标人不足3家的，不再进行评标。</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w:t>
      </w:r>
      <w:r>
        <w:rPr>
          <w:rFonts w:asciiTheme="minorEastAsia" w:hAnsiTheme="minorEastAsia"/>
          <w:sz w:val="24"/>
          <w:szCs w:val="28"/>
        </w:rPr>
        <w:t>.3.2</w:t>
      </w:r>
      <w:r>
        <w:rPr>
          <w:rFonts w:hint="eastAsia" w:asciiTheme="minorEastAsia" w:hAnsiTheme="minorEastAsia"/>
          <w:sz w:val="24"/>
          <w:szCs w:val="28"/>
        </w:rPr>
        <w:t>符合性评审</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评标委员会对所有符合资格的投标人的投标文件进行符合性审查，以确定是否满足招标文件的实质性要求。</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w:t>
      </w:r>
      <w:r>
        <w:rPr>
          <w:rFonts w:asciiTheme="minorEastAsia" w:hAnsiTheme="minorEastAsia"/>
          <w:sz w:val="24"/>
          <w:szCs w:val="28"/>
        </w:rPr>
        <w:t>.3.3</w:t>
      </w:r>
      <w:r>
        <w:rPr>
          <w:rFonts w:hint="eastAsia" w:asciiTheme="minorEastAsia" w:hAnsiTheme="minorEastAsia"/>
          <w:sz w:val="24"/>
          <w:szCs w:val="28"/>
        </w:rPr>
        <w:t>详细评审</w:t>
      </w:r>
    </w:p>
    <w:p>
      <w:pPr>
        <w:spacing w:line="360" w:lineRule="auto"/>
        <w:ind w:firstLine="480" w:firstLineChars="200"/>
        <w:rPr>
          <w:b/>
          <w:bCs/>
          <w:sz w:val="24"/>
          <w:szCs w:val="24"/>
        </w:rPr>
      </w:pPr>
      <w:r>
        <w:rPr>
          <w:rFonts w:hint="eastAsia"/>
          <w:sz w:val="24"/>
          <w:szCs w:val="24"/>
        </w:rPr>
        <w:t>评标委员会按照招标文件中规定的评标方法和标准，对符合性审查合格的投标文件进行商务和技术评估，综合比较与评价。</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3.3.3.1投标文件报价出现前后不一致的，按照下列规定修正：</w:t>
      </w:r>
    </w:p>
    <w:p>
      <w:pPr>
        <w:numPr>
          <w:ilvl w:val="0"/>
          <w:numId w:val="5"/>
        </w:numPr>
        <w:spacing w:line="360" w:lineRule="auto"/>
        <w:rPr>
          <w:sz w:val="24"/>
          <w:szCs w:val="24"/>
        </w:rPr>
      </w:pPr>
      <w:r>
        <w:rPr>
          <w:rFonts w:hint="eastAsia" w:asciiTheme="minorEastAsia" w:hAnsiTheme="minorEastAsia" w:cstheme="minorEastAsia"/>
          <w:sz w:val="24"/>
          <w:szCs w:val="24"/>
        </w:rPr>
        <w:t>投标</w:t>
      </w:r>
      <w:r>
        <w:rPr>
          <w:rFonts w:hint="eastAsia"/>
          <w:sz w:val="24"/>
          <w:szCs w:val="24"/>
        </w:rPr>
        <w:t>文件中开标一览表（报价表）内容与投标文件中相应内容不一致的，以开标一览表（报价表）为准；</w:t>
      </w:r>
    </w:p>
    <w:p>
      <w:pPr>
        <w:numPr>
          <w:ilvl w:val="0"/>
          <w:numId w:val="5"/>
        </w:numPr>
        <w:spacing w:line="360" w:lineRule="auto"/>
        <w:rPr>
          <w:sz w:val="24"/>
          <w:szCs w:val="24"/>
        </w:rPr>
      </w:pPr>
      <w:r>
        <w:rPr>
          <w:rFonts w:hint="eastAsia"/>
          <w:sz w:val="24"/>
          <w:szCs w:val="24"/>
        </w:rPr>
        <w:t>大写金额和小写金额不一致的，以大写金额为准；</w:t>
      </w:r>
    </w:p>
    <w:p>
      <w:pPr>
        <w:numPr>
          <w:ilvl w:val="0"/>
          <w:numId w:val="5"/>
        </w:numPr>
        <w:spacing w:line="360" w:lineRule="auto"/>
        <w:rPr>
          <w:sz w:val="24"/>
          <w:szCs w:val="24"/>
        </w:rPr>
      </w:pPr>
      <w:r>
        <w:rPr>
          <w:rFonts w:hint="eastAsia"/>
          <w:sz w:val="24"/>
          <w:szCs w:val="24"/>
        </w:rPr>
        <w:t>单价金额小数点或者百分比有明显错位的，以开标一览表的总价为准，并修改单价；</w:t>
      </w:r>
    </w:p>
    <w:p>
      <w:pPr>
        <w:numPr>
          <w:ilvl w:val="0"/>
          <w:numId w:val="5"/>
        </w:numPr>
        <w:spacing w:line="360" w:lineRule="auto"/>
        <w:rPr>
          <w:sz w:val="24"/>
          <w:szCs w:val="24"/>
        </w:rPr>
      </w:pPr>
      <w:r>
        <w:rPr>
          <w:rFonts w:hint="eastAsia"/>
          <w:sz w:val="24"/>
          <w:szCs w:val="24"/>
        </w:rPr>
        <w:t>总价金额与按单价汇总金额不一致的，以单价金额计算结果为准。</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3.3.3.2投标文件的澄清</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对于投标文件中含义不明确、同类问题表述不一致或者有明显文字和计算错误的内容，评标委员会应当以书面形式要求投标人作出必要的澄清、说明或者补正。</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评标委员会对投标人提交的澄清、说明或补正有疑问的，可以要求投标人进一步澄清、说明或补正，直至满足评标委员会的要求。</w:t>
      </w:r>
    </w:p>
    <w:p>
      <w:pPr>
        <w:tabs>
          <w:tab w:val="left" w:pos="720"/>
        </w:tabs>
        <w:spacing w:line="440" w:lineRule="exact"/>
        <w:ind w:firstLine="480" w:firstLineChars="200"/>
        <w:rPr>
          <w:rFonts w:ascii="Times New Roman" w:hAnsi="Times New Roman" w:eastAsia="宋体"/>
          <w:sz w:val="24"/>
        </w:rPr>
      </w:pPr>
      <w:r>
        <w:rPr>
          <w:rFonts w:hint="eastAsia" w:asciiTheme="minorEastAsia" w:hAnsiTheme="minorEastAsia"/>
          <w:sz w:val="24"/>
          <w:szCs w:val="28"/>
        </w:rPr>
        <w:t>3.3.3.3</w:t>
      </w:r>
      <w:r>
        <w:rPr>
          <w:rFonts w:hint="eastAsia" w:ascii="Times New Roman" w:hAnsi="Times New Roman" w:eastAsia="宋体"/>
          <w:sz w:val="24"/>
        </w:rPr>
        <w:t>为贯彻落实《财政部 工业和信息化部关于印发《政府采购促进中小企业发展管理办法》的通知》（财库〔2020〕46号）和《关于进一步加大政府采购支持中小企业力度的通知》（财库〔2022〕19号），本项目鼓励中小企业参与，供应商若是中小企业，应提交《中小企业声明函》原件。若不能提供，则视为非中小微型企业，价格不予扣除；（声明函格式详见附件）。</w:t>
      </w:r>
    </w:p>
    <w:p>
      <w:pPr>
        <w:tabs>
          <w:tab w:val="left" w:pos="720"/>
        </w:tabs>
        <w:spacing w:line="440" w:lineRule="exact"/>
        <w:ind w:firstLine="480" w:firstLineChars="200"/>
        <w:rPr>
          <w:rFonts w:ascii="Times New Roman" w:hAnsi="Times New Roman" w:eastAsia="宋体"/>
          <w:sz w:val="24"/>
        </w:rPr>
      </w:pPr>
      <w:r>
        <w:rPr>
          <w:rFonts w:hint="eastAsia" w:ascii="Times New Roman" w:hAnsi="Times New Roman" w:eastAsia="宋体"/>
          <w:sz w:val="24"/>
        </w:rPr>
        <w:t>根据《财政部 司法部关于政府采购支持监狱企业发展有关问题的通知》 （财库〔20</w:t>
      </w:r>
      <w:r>
        <w:rPr>
          <w:rFonts w:ascii="Times New Roman" w:hAnsi="Times New Roman" w:eastAsia="宋体"/>
          <w:sz w:val="24"/>
        </w:rPr>
        <w:t>14</w:t>
      </w:r>
      <w:r>
        <w:rPr>
          <w:rFonts w:hint="eastAsia" w:ascii="Times New Roman" w:hAnsi="Times New Roman" w:eastAsia="宋体"/>
          <w:sz w:val="24"/>
        </w:rPr>
        <w:t>〕68号）规定，本项目支持监狱企业参与政府采购活动。监狱企业参加本项目投标时，须提供由省级以上监狱管理局、戒毒管理局（含新疆生产建设兵团）出具的属于监狱企业的证明文件，视同小型、微型企业。</w:t>
      </w:r>
    </w:p>
    <w:p>
      <w:pPr>
        <w:tabs>
          <w:tab w:val="left" w:pos="720"/>
        </w:tabs>
        <w:spacing w:line="440" w:lineRule="exact"/>
        <w:ind w:firstLine="480" w:firstLineChars="200"/>
        <w:rPr>
          <w:rFonts w:asciiTheme="minorEastAsia" w:hAnsiTheme="minorEastAsia"/>
          <w:sz w:val="24"/>
          <w:szCs w:val="28"/>
        </w:rPr>
      </w:pPr>
      <w:r>
        <w:rPr>
          <w:rFonts w:hint="eastAsia" w:ascii="Times New Roman" w:hAnsi="Times New Roman" w:eastAsia="宋体"/>
          <w:sz w:val="24"/>
        </w:rPr>
        <w:t>根据《财政部 民政部 中国残疾人联合会关于关于促进残疾人就业政府采购政策的通知》（财库〔2017〕141号）规定，本项目支持残疾人福利性单位参与政府采购活动。在政府采购活动中，残疾人福利性单位视同小型、微型企业。</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根据《财政部发展改革委 生态环境部 市场监管总局 关于调整优化节能产品、环境标志产品政府采购执行机制的通知》（财库〔2019〕9号）、《市场监管总局关于发布参与实施政府采购节能产品、环境标志产品认证机构名录的公告》（以下简称“机构名录”）、《关于印发节能产品政府采购品目清单的通知》（财库〔2019〕19号）（以下简称“节能清单”）《关于印发环境标志产品政府采购品目清单的通知》（财库〔2019〕18号）（以下简称“环保清单”）要求，投标产品中如有属于“节能清单”中标记“★”产品的，必须提供经过“机构名录”中的认证机构出具的、</w:t>
      </w:r>
      <w:r>
        <w:rPr>
          <w:rFonts w:asciiTheme="minorEastAsia" w:hAnsiTheme="minorEastAsia"/>
          <w:sz w:val="24"/>
          <w:szCs w:val="28"/>
        </w:rPr>
        <w:t>处于有效期之内</w:t>
      </w:r>
      <w:r>
        <w:rPr>
          <w:rFonts w:hint="eastAsia" w:asciiTheme="minorEastAsia" w:hAnsiTheme="minorEastAsia"/>
          <w:sz w:val="24"/>
          <w:szCs w:val="28"/>
        </w:rPr>
        <w:t>的“节能产品认证证书”，未提供的按无效投标处理。</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对于投标产品属于“节能清单”中非标记“★”产品或属于 “环保清单”产品的，并提供经过“机构名录”中的认证机构出具的、</w:t>
      </w:r>
      <w:r>
        <w:rPr>
          <w:rFonts w:asciiTheme="minorEastAsia" w:hAnsiTheme="minorEastAsia"/>
          <w:sz w:val="24"/>
          <w:szCs w:val="28"/>
        </w:rPr>
        <w:t>处于有效期之内</w:t>
      </w:r>
      <w:r>
        <w:rPr>
          <w:rFonts w:hint="eastAsia" w:asciiTheme="minorEastAsia" w:hAnsiTheme="minorEastAsia"/>
          <w:sz w:val="24"/>
          <w:szCs w:val="28"/>
        </w:rPr>
        <w:t>的产品认证证书的给予优先采购，未提供的视为主动放弃被优先采购的权利。优先采购指最终得分相等时，投标报价也相同时，按技术指标优劣顺序排序，技术指标优劣情况相同的优先选择所投优先采购节能产品和环境标志产品合计金额占自身投标报价比例大的投标人。</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3.3.3.4评标委员会成员对需要共同认定的事项存在争议的，应当按照少数服从多数的原则作出结论。持不同意见的评标委员会成员应当在评标报告上签署不同意见及理由，否则视为同意评标报告。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3.3.3.5评标结果汇总完成后，除下列情形外，任何人不得修改评标结果：</w:t>
      </w:r>
    </w:p>
    <w:p>
      <w:pPr>
        <w:numPr>
          <w:ilvl w:val="0"/>
          <w:numId w:val="7"/>
        </w:numPr>
        <w:spacing w:line="360" w:lineRule="auto"/>
        <w:rPr>
          <w:rFonts w:asciiTheme="minorEastAsia" w:hAnsiTheme="minorEastAsia"/>
          <w:sz w:val="24"/>
          <w:szCs w:val="28"/>
        </w:rPr>
      </w:pPr>
      <w:r>
        <w:rPr>
          <w:rFonts w:hint="eastAsia" w:asciiTheme="minorEastAsia" w:hAnsiTheme="minorEastAsia"/>
          <w:sz w:val="24"/>
          <w:szCs w:val="28"/>
        </w:rPr>
        <w:t>分值汇总计算错误的；</w:t>
      </w:r>
    </w:p>
    <w:p>
      <w:pPr>
        <w:numPr>
          <w:ilvl w:val="0"/>
          <w:numId w:val="7"/>
        </w:numPr>
        <w:spacing w:line="360" w:lineRule="auto"/>
        <w:rPr>
          <w:rFonts w:asciiTheme="minorEastAsia" w:hAnsiTheme="minorEastAsia"/>
          <w:sz w:val="24"/>
          <w:szCs w:val="28"/>
        </w:rPr>
      </w:pPr>
      <w:r>
        <w:rPr>
          <w:rFonts w:hint="eastAsia" w:asciiTheme="minorEastAsia" w:hAnsiTheme="minorEastAsia"/>
          <w:sz w:val="24"/>
          <w:szCs w:val="28"/>
        </w:rPr>
        <w:t>分项评分超出评分标准范围的；</w:t>
      </w:r>
    </w:p>
    <w:p>
      <w:pPr>
        <w:numPr>
          <w:ilvl w:val="0"/>
          <w:numId w:val="7"/>
        </w:numPr>
        <w:spacing w:line="360" w:lineRule="auto"/>
        <w:rPr>
          <w:rFonts w:asciiTheme="minorEastAsia" w:hAnsiTheme="minorEastAsia"/>
          <w:sz w:val="24"/>
          <w:szCs w:val="28"/>
        </w:rPr>
      </w:pPr>
      <w:r>
        <w:rPr>
          <w:rFonts w:hint="eastAsia" w:asciiTheme="minorEastAsia" w:hAnsiTheme="minorEastAsia"/>
          <w:sz w:val="24"/>
          <w:szCs w:val="28"/>
        </w:rPr>
        <w:t>评标委员会成员对客观评审因素评分不一致的；</w:t>
      </w:r>
    </w:p>
    <w:p>
      <w:pPr>
        <w:numPr>
          <w:ilvl w:val="0"/>
          <w:numId w:val="7"/>
        </w:numPr>
        <w:spacing w:line="360" w:lineRule="auto"/>
        <w:rPr>
          <w:rFonts w:asciiTheme="minorEastAsia" w:hAnsiTheme="minorEastAsia"/>
          <w:sz w:val="24"/>
          <w:szCs w:val="28"/>
        </w:rPr>
      </w:pPr>
      <w:r>
        <w:rPr>
          <w:rFonts w:hint="eastAsia" w:asciiTheme="minorEastAsia" w:hAnsiTheme="minorEastAsia"/>
          <w:sz w:val="24"/>
          <w:szCs w:val="28"/>
        </w:rPr>
        <w:t>经评标委员会认定评分畸高、畸低的。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rPr>
          <w:b/>
          <w:bCs/>
          <w:sz w:val="24"/>
          <w:szCs w:val="24"/>
        </w:rPr>
      </w:pPr>
      <w:r>
        <w:rPr>
          <w:rFonts w:hint="eastAsia"/>
          <w:b/>
          <w:bCs/>
          <w:sz w:val="24"/>
          <w:szCs w:val="24"/>
        </w:rPr>
        <w:br w:type="page"/>
      </w:r>
    </w:p>
    <w:p>
      <w:pPr>
        <w:pStyle w:val="3"/>
        <w:spacing w:before="0" w:after="0"/>
        <w:jc w:val="center"/>
        <w:rPr>
          <w:sz w:val="24"/>
        </w:rPr>
      </w:pPr>
      <w:bookmarkStart w:id="42" w:name="_Toc143350527"/>
      <w:bookmarkStart w:id="43" w:name="_Toc43111186"/>
      <w:r>
        <w:rPr>
          <w:rFonts w:hint="eastAsia" w:asciiTheme="minorEastAsia" w:hAnsiTheme="minorEastAsia"/>
          <w:sz w:val="32"/>
        </w:rPr>
        <w:t>第四章 合同格式</w:t>
      </w:r>
      <w:bookmarkEnd w:id="42"/>
      <w:bookmarkEnd w:id="43"/>
      <w:bookmarkStart w:id="44" w:name="_附件"/>
      <w:bookmarkEnd w:id="44"/>
      <w:bookmarkStart w:id="45" w:name="_Hlk66007671"/>
    </w:p>
    <w:bookmarkEnd w:id="45"/>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合同编号：中原公开-2023-</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包</w:t>
      </w:r>
    </w:p>
    <w:p>
      <w:pPr>
        <w:spacing w:after="120"/>
        <w:rPr>
          <w:rFonts w:ascii="宋体" w:hAnsi="宋体" w:eastAsia="宋体" w:cs="宋体"/>
          <w:sz w:val="24"/>
          <w:szCs w:val="24"/>
        </w:rPr>
      </w:pPr>
      <w:r>
        <w:rPr>
          <w:rFonts w:hint="eastAsia" w:ascii="宋体" w:hAnsi="宋体" w:eastAsia="宋体" w:cs="宋体"/>
          <w:sz w:val="24"/>
          <w:szCs w:val="24"/>
        </w:rPr>
        <w:t>甲方（采购人）：</w:t>
      </w:r>
    </w:p>
    <w:p>
      <w:pPr>
        <w:spacing w:after="120"/>
        <w:rPr>
          <w:rFonts w:ascii="宋体" w:hAnsi="宋体" w:eastAsia="宋体" w:cs="宋体"/>
          <w:sz w:val="24"/>
          <w:szCs w:val="24"/>
        </w:rPr>
      </w:pPr>
      <w:r>
        <w:rPr>
          <w:rFonts w:hint="eastAsia" w:ascii="宋体" w:hAnsi="宋体" w:eastAsia="宋体" w:cs="宋体"/>
          <w:sz w:val="24"/>
          <w:szCs w:val="24"/>
        </w:rPr>
        <w:t>乙方（供应商）：</w:t>
      </w:r>
    </w:p>
    <w:p>
      <w:pPr>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在甲方为获得</w:t>
      </w:r>
      <w:r>
        <w:rPr>
          <w:rFonts w:hint="eastAsia" w:ascii="宋体" w:hAnsi="宋体" w:eastAsia="宋体" w:cs="宋体"/>
          <w:bCs/>
          <w:sz w:val="24"/>
          <w:szCs w:val="24"/>
          <w:u w:val="single"/>
        </w:rPr>
        <w:t xml:space="preserve">  项目名称  </w:t>
      </w:r>
      <w:r>
        <w:rPr>
          <w:rFonts w:hint="eastAsia" w:ascii="宋体" w:hAnsi="宋体" w:eastAsia="宋体" w:cs="宋体"/>
          <w:bCs/>
          <w:sz w:val="24"/>
          <w:szCs w:val="24"/>
        </w:rPr>
        <w:t>等货物和伴随服务，委托郑州市中原区政府采购中心进行招标采购，乙方参加了该项目招投标活动，并以总金额（</w:t>
      </w:r>
      <w:r>
        <w:rPr>
          <w:rFonts w:hint="eastAsia" w:ascii="宋体" w:hAnsi="宋体" w:eastAsia="宋体" w:cs="宋体"/>
          <w:bCs/>
          <w:sz w:val="24"/>
          <w:szCs w:val="24"/>
          <w:u w:val="single"/>
        </w:rPr>
        <w:t xml:space="preserve">人民币：¥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元 </w:t>
      </w:r>
      <w:r>
        <w:rPr>
          <w:rFonts w:hint="eastAsia" w:ascii="宋体" w:hAnsi="宋体" w:eastAsia="宋体" w:cs="宋体"/>
          <w:bCs/>
          <w:sz w:val="24"/>
          <w:szCs w:val="24"/>
        </w:rPr>
        <w:t>）（以下简称“合同价”）的价格成交。双方以上述事实为基础，签订本合同。</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本合同在此声明如下：</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1.</w:t>
      </w:r>
      <w:r>
        <w:rPr>
          <w:rFonts w:hint="eastAsia" w:ascii="宋体" w:hAnsi="宋体" w:eastAsia="宋体" w:cs="宋体"/>
          <w:bCs/>
          <w:sz w:val="24"/>
          <w:szCs w:val="24"/>
        </w:rPr>
        <w:t>本合同中的词语和术语的含义与合同条款中定义的相同。</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2.</w:t>
      </w:r>
      <w:r>
        <w:rPr>
          <w:rFonts w:hint="eastAsia" w:ascii="宋体" w:hAnsi="宋体" w:eastAsia="宋体" w:cs="宋体"/>
          <w:bCs/>
          <w:sz w:val="24"/>
          <w:szCs w:val="24"/>
        </w:rPr>
        <w:t>下述文件及附件和乙方的响应文件作为合同签订的基础，是构成本合同的主要组成部分，并与本合同一起阅读和解释：</w:t>
      </w:r>
    </w:p>
    <w:p>
      <w:pPr>
        <w:spacing w:line="360" w:lineRule="auto"/>
        <w:rPr>
          <w:rFonts w:ascii="宋体" w:hAnsi="宋体" w:eastAsia="宋体" w:cs="宋体"/>
          <w:bCs/>
          <w:sz w:val="24"/>
          <w:szCs w:val="24"/>
        </w:rPr>
      </w:pPr>
      <w:r>
        <w:rPr>
          <w:rFonts w:hint="eastAsia" w:ascii="宋体" w:hAnsi="宋体" w:eastAsia="宋体" w:cs="宋体"/>
          <w:b/>
          <w:sz w:val="24"/>
          <w:szCs w:val="24"/>
        </w:rPr>
        <w:t>第一条</w:t>
      </w:r>
      <w:r>
        <w:rPr>
          <w:rFonts w:hint="eastAsia" w:ascii="宋体" w:hAnsi="宋体" w:eastAsia="宋体" w:cs="宋体"/>
          <w:bCs/>
          <w:sz w:val="24"/>
          <w:szCs w:val="24"/>
        </w:rPr>
        <w:t xml:space="preserve"> 采购项目、数量、单价及金额(金额单位：元)</w:t>
      </w:r>
    </w:p>
    <w:tbl>
      <w:tblPr>
        <w:tblStyle w:val="31"/>
        <w:tblW w:w="0" w:type="auto"/>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5"/>
        <w:gridCol w:w="1338"/>
        <w:gridCol w:w="2212"/>
        <w:gridCol w:w="935"/>
        <w:gridCol w:w="1684"/>
        <w:gridCol w:w="762"/>
        <w:gridCol w:w="785"/>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trPr>
        <w:tc>
          <w:tcPr>
            <w:tcW w:w="62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序号</w:t>
            </w:r>
          </w:p>
        </w:tc>
        <w:tc>
          <w:tcPr>
            <w:tcW w:w="1338"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货物名称</w:t>
            </w:r>
          </w:p>
        </w:tc>
        <w:tc>
          <w:tcPr>
            <w:tcW w:w="2212"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品牌、型号</w:t>
            </w:r>
          </w:p>
        </w:tc>
        <w:tc>
          <w:tcPr>
            <w:tcW w:w="93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产地</w:t>
            </w:r>
          </w:p>
        </w:tc>
        <w:tc>
          <w:tcPr>
            <w:tcW w:w="1684"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制造商名称</w:t>
            </w:r>
          </w:p>
        </w:tc>
        <w:tc>
          <w:tcPr>
            <w:tcW w:w="762"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数量</w:t>
            </w:r>
          </w:p>
        </w:tc>
        <w:tc>
          <w:tcPr>
            <w:tcW w:w="78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单价</w:t>
            </w:r>
          </w:p>
        </w:tc>
        <w:tc>
          <w:tcPr>
            <w:tcW w:w="1211"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1</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sz w:val="24"/>
                <w:szCs w:val="24"/>
              </w:rPr>
              <w:t>....</w:t>
            </w: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8"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2</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3</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9552" w:type="dxa"/>
            <w:gridSpan w:val="8"/>
            <w:tcMar>
              <w:top w:w="15" w:type="dxa"/>
              <w:left w:w="15" w:type="dxa"/>
              <w:right w:w="15" w:type="dxa"/>
            </w:tcMar>
            <w:vAlign w:val="center"/>
          </w:tcPr>
          <w:p>
            <w:pPr>
              <w:widowControl/>
              <w:jc w:val="left"/>
              <w:textAlignment w:val="center"/>
              <w:rPr>
                <w:rFonts w:ascii="宋体" w:hAnsi="宋体" w:eastAsia="宋体" w:cs="宋体"/>
                <w:kern w:val="0"/>
                <w:sz w:val="24"/>
                <w:szCs w:val="24"/>
                <w:lang w:bidi="ar"/>
              </w:rPr>
            </w:pPr>
            <w:r>
              <w:rPr>
                <w:rFonts w:hint="eastAsia" w:ascii="宋体" w:hAnsi="宋体" w:eastAsia="宋体" w:cs="宋体"/>
                <w:kern w:val="0"/>
                <w:sz w:val="24"/>
                <w:szCs w:val="24"/>
                <w:lang w:bidi="ar"/>
              </w:rPr>
              <w:t xml:space="preserve">总报价（大写）： </w:t>
            </w:r>
          </w:p>
          <w:p>
            <w:pPr>
              <w:widowControl/>
              <w:ind w:firstLine="720" w:firstLineChars="300"/>
              <w:jc w:val="left"/>
              <w:textAlignment w:val="center"/>
              <w:rPr>
                <w:rFonts w:ascii="宋体" w:hAnsi="宋体" w:eastAsia="宋体" w:cs="宋体"/>
                <w:sz w:val="24"/>
                <w:szCs w:val="24"/>
              </w:rPr>
            </w:pPr>
            <w:r>
              <w:rPr>
                <w:rFonts w:hint="eastAsia" w:ascii="宋体" w:hAnsi="宋体" w:eastAsia="宋体" w:cs="宋体"/>
                <w:kern w:val="0"/>
                <w:sz w:val="24"/>
                <w:szCs w:val="24"/>
                <w:lang w:bidi="ar"/>
              </w:rPr>
              <w:t xml:space="preserve">（小写）： </w:t>
            </w:r>
          </w:p>
        </w:tc>
      </w:tr>
    </w:tbl>
    <w:p>
      <w:pPr>
        <w:spacing w:line="360" w:lineRule="auto"/>
        <w:rPr>
          <w:rFonts w:ascii="宋体" w:hAnsi="宋体" w:eastAsia="宋体" w:cs="宋体"/>
          <w:bCs/>
          <w:sz w:val="24"/>
          <w:szCs w:val="24"/>
        </w:rPr>
      </w:pPr>
      <w:r>
        <w:rPr>
          <w:rFonts w:hint="eastAsia" w:ascii="宋体" w:hAnsi="宋体" w:eastAsia="宋体" w:cs="宋体"/>
          <w:bCs/>
          <w:sz w:val="24"/>
          <w:szCs w:val="24"/>
        </w:rPr>
        <w:t>注：合同价为包含设备硬件、预装软件、运输、保险、安装调试、售后服务、培训等一切费用在内的交货价，该价在合同履行期间固定不变。</w:t>
      </w:r>
    </w:p>
    <w:p>
      <w:pPr>
        <w:spacing w:line="360" w:lineRule="auto"/>
        <w:rPr>
          <w:rFonts w:ascii="宋体" w:hAnsi="宋体" w:eastAsia="宋体" w:cs="宋体"/>
          <w:bCs/>
          <w:sz w:val="24"/>
          <w:szCs w:val="24"/>
        </w:rPr>
      </w:pPr>
      <w:r>
        <w:rPr>
          <w:rFonts w:hint="eastAsia" w:ascii="宋体" w:hAnsi="宋体" w:eastAsia="宋体" w:cs="宋体"/>
          <w:b/>
          <w:sz w:val="24"/>
          <w:szCs w:val="24"/>
        </w:rPr>
        <w:t>第二条</w:t>
      </w:r>
      <w:r>
        <w:rPr>
          <w:rFonts w:hint="eastAsia" w:ascii="宋体" w:hAnsi="宋体" w:eastAsia="宋体" w:cs="宋体"/>
          <w:bCs/>
          <w:sz w:val="24"/>
          <w:szCs w:val="24"/>
        </w:rPr>
        <w:t xml:space="preserve"> 质量标准：</w:t>
      </w:r>
      <w:r>
        <w:rPr>
          <w:rFonts w:hint="eastAsia" w:ascii="宋体" w:hAnsi="宋体" w:eastAsia="宋体" w:cs="宋体"/>
          <w:sz w:val="24"/>
          <w:szCs w:val="24"/>
        </w:rPr>
        <w:t>达到国家行业合格标准。</w:t>
      </w:r>
      <w:r>
        <w:rPr>
          <w:rFonts w:hint="eastAsia" w:ascii="宋体" w:hAnsi="宋体" w:eastAsia="宋体" w:cs="宋体"/>
          <w:bCs/>
          <w:sz w:val="24"/>
          <w:szCs w:val="24"/>
        </w:rPr>
        <w:t xml:space="preserve">    </w:t>
      </w:r>
    </w:p>
    <w:p>
      <w:pPr>
        <w:spacing w:line="360" w:lineRule="auto"/>
        <w:rPr>
          <w:rFonts w:ascii="宋体" w:hAnsi="宋体" w:eastAsia="宋体" w:cs="宋体"/>
          <w:bCs/>
          <w:sz w:val="24"/>
          <w:szCs w:val="24"/>
        </w:rPr>
      </w:pPr>
      <w:r>
        <w:rPr>
          <w:rFonts w:hint="eastAsia" w:ascii="宋体" w:hAnsi="宋体" w:eastAsia="宋体" w:cs="宋体"/>
          <w:b/>
          <w:sz w:val="24"/>
          <w:szCs w:val="24"/>
        </w:rPr>
        <w:t>第三条</w:t>
      </w:r>
      <w:r>
        <w:rPr>
          <w:rFonts w:hint="eastAsia" w:ascii="宋体" w:hAnsi="宋体" w:eastAsia="宋体" w:cs="宋体"/>
          <w:bCs/>
          <w:sz w:val="24"/>
          <w:szCs w:val="24"/>
        </w:rPr>
        <w:t xml:space="preserve"> 乙</w:t>
      </w:r>
      <w:r>
        <w:rPr>
          <w:rFonts w:hint="eastAsia" w:ascii="宋体" w:hAnsi="宋体" w:eastAsia="宋体" w:cs="宋体"/>
          <w:sz w:val="24"/>
          <w:szCs w:val="24"/>
        </w:rPr>
        <w:t>方对质量负责的条件及期限及售后服务承诺：</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1.提供全新未拆封产品（包括零部件、附件、备品备件）。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2.按照合同规定的时间和方式向甲方提供货物和服务，并负责可能的弥补缺陷。</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3.乙方提供的设备质保期为</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4.响应时间：所投货物非人为损坏出现问题，我单位在接到正式通知后</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小时内响应，正常工作时间</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小时内到达现场进行检修，非工作时间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小时内到达现场进行检修，解决问题时间不超过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小时。全新设备在使用期间的质保及售后均按上述承诺执行。 </w:t>
      </w:r>
    </w:p>
    <w:p>
      <w:pPr>
        <w:spacing w:line="360" w:lineRule="auto"/>
        <w:rPr>
          <w:rFonts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第四条</w:t>
      </w:r>
      <w:r>
        <w:rPr>
          <w:rFonts w:hint="eastAsia" w:ascii="宋体" w:hAnsi="宋体" w:eastAsia="宋体" w:cs="宋体"/>
          <w:bCs/>
          <w:sz w:val="24"/>
          <w:szCs w:val="24"/>
        </w:rPr>
        <w:t xml:space="preserve"> </w:t>
      </w:r>
      <w:r>
        <w:rPr>
          <w:rFonts w:hint="eastAsia" w:ascii="宋体" w:hAnsi="宋体" w:eastAsia="宋体" w:cs="宋体"/>
          <w:sz w:val="24"/>
          <w:szCs w:val="24"/>
        </w:rPr>
        <w:t>包装标准、包装物的供应与回收：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1.所供设备均为原厂全新原包装。</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2.带有包装物的设备、材料起吊或拆包装后，由负责安装的乙方通知甲方进行安装前的检验，符合包装标准后在行安装调试。</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第五条 </w:t>
      </w:r>
      <w:r>
        <w:rPr>
          <w:rFonts w:hint="eastAsia" w:ascii="宋体" w:hAnsi="宋体" w:eastAsia="宋体" w:cs="宋体"/>
          <w:sz w:val="24"/>
          <w:szCs w:val="24"/>
        </w:rPr>
        <w:t xml:space="preserve">合理损耗标准及计算方法：设备在运输过程中的合理损耗由供方负责。  </w:t>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第六条 </w:t>
      </w:r>
      <w:r>
        <w:rPr>
          <w:rFonts w:hint="eastAsia" w:ascii="宋体" w:hAnsi="宋体" w:eastAsia="宋体" w:cs="宋体"/>
          <w:sz w:val="24"/>
          <w:szCs w:val="24"/>
        </w:rPr>
        <w:t>采购项目所有权自交付使用后时起转移，但甲方未履行支付价款义务前的采购项目属于乙方所有。</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第七条 </w:t>
      </w:r>
      <w:r>
        <w:rPr>
          <w:rFonts w:hint="eastAsia" w:ascii="宋体" w:hAnsi="宋体" w:eastAsia="宋体" w:cs="宋体"/>
          <w:sz w:val="24"/>
          <w:szCs w:val="24"/>
        </w:rPr>
        <w:t>供货时间：自合同签订之日起</w:t>
      </w:r>
      <w:r>
        <w:rPr>
          <w:rFonts w:hint="eastAsia" w:ascii="宋体" w:hAnsi="宋体" w:eastAsia="宋体" w:cs="宋体"/>
          <w:sz w:val="24"/>
          <w:szCs w:val="24"/>
          <w:u w:val="single"/>
        </w:rPr>
        <w:t xml:space="preserve">     </w:t>
      </w:r>
      <w:r>
        <w:rPr>
          <w:rFonts w:hint="eastAsia" w:ascii="宋体" w:hAnsi="宋体" w:eastAsia="宋体" w:cs="宋体"/>
          <w:sz w:val="24"/>
          <w:szCs w:val="24"/>
        </w:rPr>
        <w:t>日历天内供货并安装完成。</w:t>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第八条 </w:t>
      </w:r>
      <w:r>
        <w:rPr>
          <w:rFonts w:hint="eastAsia" w:ascii="宋体" w:hAnsi="宋体" w:eastAsia="宋体" w:cs="宋体"/>
          <w:sz w:val="24"/>
          <w:szCs w:val="24"/>
        </w:rPr>
        <w:t xml:space="preserve">运输方式及到达地和费用负担：汽运、郑州市第六十五中学指定地点、所有运输费用由乙方全权承担。                                 </w:t>
      </w:r>
    </w:p>
    <w:p>
      <w:pPr>
        <w:spacing w:line="360" w:lineRule="auto"/>
        <w:ind w:firstLine="482" w:firstLineChars="200"/>
        <w:rPr>
          <w:rFonts w:ascii="宋体" w:hAnsi="宋体" w:eastAsia="宋体" w:cs="宋体"/>
          <w:sz w:val="24"/>
          <w:szCs w:val="24"/>
        </w:rPr>
      </w:pPr>
      <w:r>
        <w:rPr>
          <w:rFonts w:hint="eastAsia" w:ascii="宋体" w:hAnsi="宋体" w:eastAsia="宋体" w:cs="宋体"/>
          <w:b/>
          <w:sz w:val="24"/>
          <w:szCs w:val="24"/>
        </w:rPr>
        <w:t xml:space="preserve">第九条 </w:t>
      </w:r>
      <w:r>
        <w:rPr>
          <w:rFonts w:hint="eastAsia" w:ascii="宋体" w:hAnsi="宋体" w:eastAsia="宋体" w:cs="宋体"/>
          <w:sz w:val="24"/>
          <w:szCs w:val="24"/>
        </w:rPr>
        <w:t>检验标准、方法、地点及期限：</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1.产品应按照国家及有关部门的规定进行包装，以确保其安全无损地运抵供货安装地点。</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2.在合同履行过程中，如某些事项需要甲方提供必要的配合措施而投标文件中没有明确的，乙方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3.产品运抵供货安装地点后，乙方应当通知甲方，甲方有权进行检验，对发现质量等不符合约定的，有权要求乙方采取补救措施。甲方未检验或者未检验出问题的，并不免除乙方的任何质量义务。</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第十条 </w:t>
      </w:r>
      <w:r>
        <w:rPr>
          <w:rFonts w:hint="eastAsia" w:ascii="宋体" w:hAnsi="宋体" w:eastAsia="宋体" w:cs="宋体"/>
          <w:sz w:val="24"/>
          <w:szCs w:val="24"/>
        </w:rPr>
        <w:t xml:space="preserve">采购项目的安装调试：乙方严格按照招标文件的供货方案及计划，在交付货物时应向甲方提供货物的所有相关资料，并现场进行安装调试和培训，所有安装调试培训等费用由乙方全部承担，并保证设备正常运转，否则按不能交货对待。      </w:t>
      </w:r>
    </w:p>
    <w:p>
      <w:pPr>
        <w:spacing w:line="360" w:lineRule="auto"/>
        <w:ind w:firstLine="482" w:firstLineChars="200"/>
        <w:rPr>
          <w:rFonts w:ascii="宋体" w:hAnsi="宋体" w:eastAsia="宋体" w:cs="宋体"/>
          <w:sz w:val="24"/>
          <w:szCs w:val="24"/>
        </w:rPr>
      </w:pPr>
      <w:r>
        <w:rPr>
          <w:rFonts w:hint="eastAsia" w:ascii="宋体" w:hAnsi="宋体" w:eastAsia="宋体" w:cs="宋体"/>
          <w:b/>
          <w:sz w:val="24"/>
          <w:szCs w:val="24"/>
        </w:rPr>
        <w:t xml:space="preserve">第十一条 </w:t>
      </w:r>
      <w:r>
        <w:rPr>
          <w:rFonts w:hint="eastAsia" w:ascii="宋体" w:hAnsi="宋体" w:eastAsia="宋体" w:cs="宋体"/>
          <w:bCs/>
          <w:sz w:val="24"/>
          <w:szCs w:val="24"/>
        </w:rPr>
        <w:t>付款结</w:t>
      </w:r>
      <w:r>
        <w:rPr>
          <w:rFonts w:hint="eastAsia" w:ascii="宋体" w:hAnsi="宋体" w:eastAsia="宋体" w:cs="宋体"/>
          <w:sz w:val="24"/>
          <w:szCs w:val="24"/>
        </w:rPr>
        <w:t>算方式、时间及地点，付款方式及信息：</w:t>
      </w:r>
    </w:p>
    <w:p>
      <w:pPr>
        <w:spacing w:line="360" w:lineRule="auto"/>
        <w:ind w:firstLine="480" w:firstLineChars="200"/>
        <w:rPr>
          <w:rFonts w:ascii="宋体" w:hAnsi="宋体" w:eastAsia="宋体" w:cs="宋体"/>
          <w:sz w:val="24"/>
          <w:szCs w:val="24"/>
        </w:rPr>
      </w:pPr>
      <w:bookmarkStart w:id="46" w:name="_Hlk485722851"/>
      <w:r>
        <w:rPr>
          <w:rFonts w:hint="eastAsia" w:ascii="宋体" w:hAnsi="宋体" w:eastAsia="宋体" w:cs="宋体"/>
          <w:sz w:val="24"/>
          <w:szCs w:val="24"/>
        </w:rPr>
        <w:t>合同签订后支付合同价的50%，设备安装完成经验收合格付清合同余款。</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付款信息：</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2"/>
        <w:gridCol w:w="5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kern w:val="15"/>
                <w:sz w:val="24"/>
                <w:szCs w:val="24"/>
              </w:rPr>
              <w:t>单位名称</w:t>
            </w:r>
            <w:r>
              <w:rPr>
                <w:rFonts w:hint="eastAsia" w:ascii="宋体" w:hAnsi="宋体" w:eastAsia="宋体" w:cs="宋体"/>
                <w:sz w:val="24"/>
                <w:szCs w:val="24"/>
              </w:rPr>
              <w:t>：</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开 户 行：</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账    号：</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统一社会信用代码：</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bookmarkEnd w:id="46"/>
        </w:tc>
      </w:tr>
    </w:tbl>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    </w:t>
      </w:r>
    </w:p>
    <w:p>
      <w:pPr>
        <w:spacing w:line="360" w:lineRule="auto"/>
        <w:ind w:firstLine="472" w:firstLineChars="196"/>
        <w:rPr>
          <w:rFonts w:ascii="宋体" w:hAnsi="宋体" w:eastAsia="宋体" w:cs="宋体"/>
          <w:sz w:val="24"/>
          <w:szCs w:val="24"/>
        </w:rPr>
      </w:pPr>
      <w:r>
        <w:rPr>
          <w:rFonts w:hint="eastAsia" w:ascii="宋体" w:hAnsi="宋体" w:eastAsia="宋体" w:cs="宋体"/>
          <w:b/>
          <w:bCs/>
          <w:sz w:val="24"/>
          <w:szCs w:val="24"/>
        </w:rPr>
        <w:t>第十二条</w:t>
      </w:r>
      <w:r>
        <w:rPr>
          <w:rFonts w:hint="eastAsia" w:ascii="宋体" w:hAnsi="宋体" w:eastAsia="宋体" w:cs="宋体"/>
          <w:sz w:val="24"/>
          <w:szCs w:val="24"/>
        </w:rPr>
        <w:t xml:space="preserve"> 违约责任：</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乙方所交付的货物品种、生产厂家、型号、规格、质量不符合国家规定标准或合同与投标文件响应要求的，或者乙方不能按时交付货物或不能完成系统安装、调试及不能完成投标文件其他服务条款的，乙方应向甲方支付违约金，甲方有权解除合同。</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乙方如逾期完成的，每逾期一日乙方应向甲方支付合同金额的0.01%违约金。甲方无正当理由拒收货物、拒付货款，甲方应向乙方偿付拒收拒付部分设备款总额0.01%的违约金；甲方如逾期付款的，每逾期付款一日甲方应向乙方偿付所欠合同金额0.01%的违约金。</w:t>
      </w:r>
    </w:p>
    <w:p>
      <w:pPr>
        <w:spacing w:line="360" w:lineRule="auto"/>
        <w:ind w:firstLine="472" w:firstLineChars="196"/>
        <w:rPr>
          <w:rFonts w:ascii="宋体" w:hAnsi="宋体" w:eastAsia="宋体" w:cs="宋体"/>
          <w:b/>
          <w:sz w:val="24"/>
          <w:szCs w:val="24"/>
        </w:rPr>
      </w:pPr>
      <w:r>
        <w:rPr>
          <w:rFonts w:hint="eastAsia" w:ascii="宋体" w:hAnsi="宋体" w:eastAsia="宋体" w:cs="宋体"/>
          <w:b/>
          <w:sz w:val="24"/>
          <w:szCs w:val="24"/>
        </w:rPr>
        <w:t>第十三条 履约验收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（1）履约验收主体</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采购人：郑州市第六十五中学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（2）履约验收时间</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设备配备到位并安装调试完成后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（3）履约验收方式</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学校组织验收小组, 验收小组依据合同约定的各项技术标准，对中标（中标）供应商提供的设备进行测试验收，并向中标供应商、区财政局出具加盖学校公章的设备验收单作为付款凭据。</w:t>
      </w:r>
      <w:r>
        <w:rPr>
          <w:rFonts w:hint="eastAsia" w:ascii="宋体" w:hAnsi="宋体" w:eastAsia="宋体" w:cs="宋体"/>
          <w:sz w:val="24"/>
          <w:szCs w:val="24"/>
        </w:rPr>
        <w:cr/>
      </w:r>
      <w:r>
        <w:rPr>
          <w:rFonts w:hint="eastAsia" w:ascii="宋体" w:hAnsi="宋体" w:eastAsia="宋体" w:cs="宋体"/>
          <w:sz w:val="24"/>
          <w:szCs w:val="24"/>
        </w:rPr>
        <w:t xml:space="preserve">    （4）履约验收程序</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第一步，启动验收，按照采购需求和采购合同约定，编制验收方案。</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第二步，供应商提供验收所需资料。提供技术资料、合格证明以及验收所必须具备的其他材料，通知采购人并协助开展验收。其中隐蔽环节在隐蔽以前，或者其他分段验收环节在结束以前，供应商应当及时通知。</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第三步，成立验收小组。验收小组成员应不少于五人，由学校领导牵头，行政、纪检、资产管理、技术、使用等相关人员组成。</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第四步，验收结束后，验收小组应当出具验收报告。列明各项标准的验收情况及项目总体评价，由验收双方共同签署，履约验收的各项资料应当存档备查。</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第五步，验收不合格的处理。履约验收不合格的，采购人向供应商发出整改通知书。整改结束后，由供应商通知验收组织主体重新验收。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第六步，采购人在验收结束之日起 2 个工作日内在中原区政府采购网发布验收结果公告。</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（5）履约验收内容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1．技术验收，实物的安装与制作要完全符合投标文件技术参数、配置清单以及合同要求。否则不予验收通过。</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2．商务验收，实物安装后，必须提供售后服务。否则，不予验收通过。</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（6）履约验收验收标准</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严格按照国家相关法律法规规范标准、采购文件及投标文件响应内容进行验收。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（7）履约验收其他事项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其他未尽事宜参照国家相关法律法规规定的内容。 </w:t>
      </w:r>
    </w:p>
    <w:p>
      <w:pPr>
        <w:spacing w:line="360" w:lineRule="auto"/>
        <w:ind w:firstLine="472" w:firstLineChars="196"/>
        <w:rPr>
          <w:rFonts w:ascii="宋体" w:hAnsi="宋体" w:eastAsia="宋体" w:cs="宋体"/>
          <w:sz w:val="24"/>
          <w:szCs w:val="24"/>
        </w:rPr>
      </w:pPr>
      <w:r>
        <w:rPr>
          <w:rFonts w:hint="eastAsia" w:ascii="宋体" w:hAnsi="宋体" w:eastAsia="宋体" w:cs="宋体"/>
          <w:b/>
          <w:sz w:val="24"/>
          <w:szCs w:val="24"/>
        </w:rPr>
        <w:t xml:space="preserve">第十四条 </w:t>
      </w:r>
      <w:r>
        <w:rPr>
          <w:rFonts w:hint="eastAsia" w:ascii="宋体" w:hAnsi="宋体" w:eastAsia="宋体" w:cs="宋体"/>
          <w:sz w:val="24"/>
          <w:szCs w:val="24"/>
        </w:rPr>
        <w:t>合同争议的解决方式：本合同在履行过程中发生的争议，双方当事人协商解决，也可由有关部门调解；如协商不成可向合同签订地法院诉讼。</w:t>
      </w:r>
    </w:p>
    <w:p>
      <w:pPr>
        <w:spacing w:line="360" w:lineRule="auto"/>
        <w:ind w:firstLine="472" w:firstLineChars="196"/>
        <w:rPr>
          <w:rFonts w:ascii="宋体" w:hAnsi="宋体" w:eastAsia="宋体" w:cs="宋体"/>
          <w:sz w:val="24"/>
          <w:szCs w:val="24"/>
        </w:rPr>
      </w:pPr>
      <w:r>
        <w:rPr>
          <w:rFonts w:hint="eastAsia" w:ascii="宋体" w:hAnsi="宋体" w:eastAsia="宋体" w:cs="宋体"/>
          <w:b/>
          <w:sz w:val="24"/>
          <w:szCs w:val="24"/>
        </w:rPr>
        <w:t xml:space="preserve">第十五条 </w:t>
      </w:r>
      <w:r>
        <w:rPr>
          <w:rFonts w:hint="eastAsia" w:ascii="宋体" w:hAnsi="宋体" w:eastAsia="宋体" w:cs="宋体"/>
          <w:sz w:val="24"/>
          <w:szCs w:val="24"/>
        </w:rPr>
        <w:t>本合同自双方代表签字并加盖公章后生效，本合同共计六份，甲方、乙方各</w:t>
      </w:r>
      <w:r>
        <w:rPr>
          <w:rFonts w:hint="eastAsia" w:ascii="宋体" w:hAnsi="宋体" w:eastAsia="宋体" w:cs="宋体"/>
          <w:b/>
          <w:bCs/>
          <w:sz w:val="24"/>
          <w:szCs w:val="24"/>
        </w:rPr>
        <w:t>三</w:t>
      </w:r>
      <w:r>
        <w:rPr>
          <w:rFonts w:hint="eastAsia" w:ascii="宋体" w:hAnsi="宋体" w:eastAsia="宋体" w:cs="宋体"/>
          <w:sz w:val="24"/>
          <w:szCs w:val="24"/>
        </w:rPr>
        <w:t>份。</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甲   方：                          乙   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名   称：（盖章）                  名   称：（盖章）</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   址：                          地   址：</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法定代表人（签字或盖章）：         法定代表人（签字或盖章）：</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授权代表（签字）：                 授权代表（签字）：</w:t>
      </w:r>
    </w:p>
    <w:p>
      <w:pPr>
        <w:spacing w:line="360" w:lineRule="auto"/>
        <w:ind w:firstLine="1200" w:firstLineChars="500"/>
        <w:jc w:val="right"/>
        <w:rPr>
          <w:rFonts w:ascii="宋体" w:hAnsi="宋体" w:eastAsia="宋体" w:cs="宋体"/>
          <w:sz w:val="24"/>
          <w:szCs w:val="24"/>
        </w:rPr>
      </w:pPr>
    </w:p>
    <w:p>
      <w:pPr>
        <w:tabs>
          <w:tab w:val="left" w:pos="6804"/>
          <w:tab w:val="left" w:pos="6946"/>
        </w:tabs>
        <w:spacing w:line="360" w:lineRule="auto"/>
        <w:ind w:firstLine="555"/>
        <w:rPr>
          <w:rFonts w:ascii="宋体" w:hAnsi="宋体" w:eastAsia="宋体" w:cs="宋体"/>
          <w:color w:val="000000"/>
          <w:sz w:val="24"/>
          <w:szCs w:val="24"/>
        </w:rPr>
      </w:pPr>
      <w:r>
        <w:rPr>
          <w:rFonts w:hint="eastAsia" w:ascii="宋体" w:hAnsi="宋体" w:eastAsia="宋体" w:cs="宋体"/>
          <w:sz w:val="24"/>
          <w:szCs w:val="24"/>
        </w:rPr>
        <w:t>时间：    年    月    日</w:t>
      </w:r>
    </w:p>
    <w:p>
      <w:pPr>
        <w:tabs>
          <w:tab w:val="left" w:pos="6804"/>
          <w:tab w:val="left" w:pos="6946"/>
        </w:tabs>
        <w:spacing w:line="360" w:lineRule="auto"/>
        <w:ind w:firstLine="555"/>
        <w:rPr>
          <w:rFonts w:ascii="宋体" w:hAnsi="宋体" w:eastAsia="宋体" w:cs="宋体"/>
          <w:color w:val="000000"/>
          <w:sz w:val="24"/>
          <w:szCs w:val="24"/>
        </w:rPr>
      </w:pPr>
    </w:p>
    <w:p>
      <w:pPr>
        <w:tabs>
          <w:tab w:val="left" w:pos="6804"/>
          <w:tab w:val="left" w:pos="6946"/>
        </w:tabs>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附件：分项报价、参数、售后服务计划等</w:t>
      </w:r>
    </w:p>
    <w:p>
      <w:pPr>
        <w:widowControl/>
        <w:jc w:val="left"/>
        <w:rPr>
          <w:rFonts w:ascii="宋体" w:hAnsi="宋体" w:eastAsia="宋体" w:cs="宋体"/>
          <w:b/>
          <w:sz w:val="30"/>
          <w:szCs w:val="30"/>
        </w:rPr>
      </w:pPr>
      <w:r>
        <w:rPr>
          <w:rFonts w:ascii="宋体" w:hAnsi="宋体" w:eastAsia="宋体" w:cs="宋体"/>
          <w:b/>
          <w:sz w:val="30"/>
          <w:szCs w:val="30"/>
        </w:rPr>
        <w:br w:type="page"/>
      </w:r>
    </w:p>
    <w:p>
      <w:pPr>
        <w:tabs>
          <w:tab w:val="left" w:pos="6804"/>
          <w:tab w:val="left" w:pos="6946"/>
        </w:tabs>
        <w:spacing w:line="360" w:lineRule="auto"/>
        <w:rPr>
          <w:rFonts w:ascii="宋体" w:hAnsi="宋体" w:eastAsia="宋体" w:cs="宋体"/>
          <w:b/>
          <w:sz w:val="30"/>
          <w:szCs w:val="30"/>
        </w:rPr>
      </w:pPr>
      <w:r>
        <w:rPr>
          <w:rFonts w:ascii="宋体" w:hAnsi="宋体" w:eastAsia="宋体" w:cs="宋体"/>
          <w:b/>
          <w:sz w:val="30"/>
          <w:szCs w:val="30"/>
        </w:rPr>
        <w:t xml:space="preserve">附件一               </w:t>
      </w:r>
    </w:p>
    <w:p>
      <w:pPr>
        <w:tabs>
          <w:tab w:val="left" w:pos="6360"/>
        </w:tabs>
        <w:ind w:firstLine="151" w:firstLineChars="50"/>
        <w:jc w:val="center"/>
        <w:rPr>
          <w:rFonts w:ascii="宋体" w:hAnsi="宋体" w:eastAsia="宋体" w:cs="宋体"/>
          <w:b/>
          <w:sz w:val="30"/>
          <w:szCs w:val="30"/>
        </w:rPr>
      </w:pPr>
      <w:r>
        <w:rPr>
          <w:rFonts w:hint="eastAsia" w:ascii="宋体" w:hAnsi="宋体" w:eastAsia="宋体" w:cs="宋体"/>
          <w:b/>
          <w:bCs/>
          <w:sz w:val="30"/>
          <w:szCs w:val="30"/>
        </w:rPr>
        <w:t>分项报价</w:t>
      </w:r>
      <w:r>
        <w:rPr>
          <w:rFonts w:ascii="宋体" w:hAnsi="宋体" w:eastAsia="宋体" w:cs="宋体"/>
          <w:b/>
          <w:bCs/>
          <w:sz w:val="30"/>
          <w:szCs w:val="30"/>
        </w:rPr>
        <w:t>表</w:t>
      </w:r>
    </w:p>
    <w:tbl>
      <w:tblPr>
        <w:tblStyle w:val="31"/>
        <w:tblW w:w="0" w:type="auto"/>
        <w:jc w:val="center"/>
        <w:tblLayout w:type="fixed"/>
        <w:tblCellMar>
          <w:top w:w="0" w:type="dxa"/>
          <w:left w:w="108" w:type="dxa"/>
          <w:bottom w:w="0" w:type="dxa"/>
          <w:right w:w="108" w:type="dxa"/>
        </w:tblCellMar>
      </w:tblPr>
      <w:tblGrid>
        <w:gridCol w:w="713"/>
        <w:gridCol w:w="1683"/>
        <w:gridCol w:w="2904"/>
        <w:gridCol w:w="1188"/>
        <w:gridCol w:w="1298"/>
        <w:gridCol w:w="1313"/>
      </w:tblGrid>
      <w:tr>
        <w:tblPrEx>
          <w:tblCellMar>
            <w:top w:w="0" w:type="dxa"/>
            <w:left w:w="108" w:type="dxa"/>
            <w:bottom w:w="0" w:type="dxa"/>
            <w:right w:w="108" w:type="dxa"/>
          </w:tblCellMar>
        </w:tblPrEx>
        <w:trPr>
          <w:trHeight w:val="78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序号</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货物名称</w:t>
            </w: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品牌型号及制造商</w:t>
            </w: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数量</w:t>
            </w:r>
          </w:p>
        </w:tc>
        <w:tc>
          <w:tcPr>
            <w:tcW w:w="12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单价</w:t>
            </w:r>
          </w:p>
          <w:p>
            <w:pPr>
              <w:jc w:val="center"/>
              <w:rPr>
                <w:rFonts w:ascii="宋体" w:hAnsi="宋体" w:eastAsia="宋体" w:cs="宋体"/>
                <w:bCs/>
                <w:sz w:val="24"/>
                <w:szCs w:val="24"/>
              </w:rPr>
            </w:pPr>
            <w:r>
              <w:rPr>
                <w:rFonts w:ascii="宋体" w:hAnsi="宋体" w:eastAsia="宋体" w:cs="宋体"/>
                <w:bCs/>
                <w:sz w:val="24"/>
                <w:szCs w:val="24"/>
              </w:rPr>
              <w:t>（元）</w:t>
            </w: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合计</w:t>
            </w:r>
          </w:p>
          <w:p>
            <w:pPr>
              <w:jc w:val="center"/>
              <w:rPr>
                <w:rFonts w:ascii="宋体" w:hAnsi="宋体" w:eastAsia="宋体" w:cs="宋体"/>
                <w:bCs/>
                <w:sz w:val="24"/>
                <w:szCs w:val="24"/>
              </w:rPr>
            </w:pPr>
            <w:r>
              <w:rPr>
                <w:rFonts w:ascii="宋体" w:hAnsi="宋体" w:eastAsia="宋体" w:cs="宋体"/>
                <w:bCs/>
                <w:sz w:val="24"/>
                <w:szCs w:val="24"/>
              </w:rPr>
              <w:t>（元）</w:t>
            </w:r>
          </w:p>
        </w:tc>
      </w:tr>
      <w:tr>
        <w:tblPrEx>
          <w:tblCellMar>
            <w:top w:w="0" w:type="dxa"/>
            <w:left w:w="108" w:type="dxa"/>
            <w:bottom w:w="0" w:type="dxa"/>
            <w:right w:w="108" w:type="dxa"/>
          </w:tblCellMar>
        </w:tblPrEx>
        <w:trPr>
          <w:trHeight w:val="634"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1</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ind w:left="420" w:hanging="420"/>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42"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2</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42"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Arial" w:hAnsi="Arial" w:eastAsia="宋体" w:cs="Arial"/>
                <w:sz w:val="24"/>
                <w:szCs w:val="24"/>
              </w:rPr>
              <w:t>…</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cantSplit/>
          <w:trHeight w:val="676" w:hRule="atLeast"/>
          <w:jc w:val="center"/>
        </w:trPr>
        <w:tc>
          <w:tcPr>
            <w:tcW w:w="7786" w:type="dxa"/>
            <w:gridSpan w:val="5"/>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b/>
                <w:sz w:val="24"/>
                <w:szCs w:val="24"/>
              </w:rPr>
            </w:pPr>
            <w:r>
              <w:rPr>
                <w:rFonts w:ascii="宋体" w:hAnsi="宋体" w:eastAsia="宋体" w:cs="宋体"/>
                <w:b/>
                <w:sz w:val="24"/>
                <w:szCs w:val="24"/>
              </w:rPr>
              <w:t>合计（大写）</w:t>
            </w: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bl>
    <w:p>
      <w:pPr>
        <w:spacing w:line="360" w:lineRule="auto"/>
        <w:rPr>
          <w:rFonts w:ascii="宋体" w:hAnsi="宋体" w:eastAsia="宋体" w:cs="宋体"/>
          <w:b/>
          <w:sz w:val="30"/>
          <w:szCs w:val="30"/>
        </w:rPr>
      </w:pPr>
    </w:p>
    <w:p>
      <w:pPr>
        <w:widowControl/>
        <w:jc w:val="left"/>
        <w:rPr>
          <w:rFonts w:ascii="宋体" w:hAnsi="宋体" w:eastAsia="宋体" w:cs="宋体"/>
          <w:b/>
          <w:sz w:val="30"/>
          <w:szCs w:val="30"/>
        </w:rPr>
      </w:pPr>
      <w:r>
        <w:rPr>
          <w:rFonts w:ascii="宋体" w:hAnsi="宋体" w:eastAsia="宋体" w:cs="宋体"/>
          <w:b/>
          <w:sz w:val="30"/>
          <w:szCs w:val="30"/>
        </w:rPr>
        <w:br w:type="page"/>
      </w:r>
    </w:p>
    <w:p>
      <w:pPr>
        <w:spacing w:line="360" w:lineRule="auto"/>
        <w:rPr>
          <w:rFonts w:ascii="宋体" w:hAnsi="宋体" w:eastAsia="宋体" w:cs="宋体"/>
          <w:b/>
          <w:sz w:val="30"/>
          <w:szCs w:val="30"/>
        </w:rPr>
      </w:pPr>
      <w:r>
        <w:rPr>
          <w:rFonts w:ascii="宋体" w:hAnsi="宋体" w:eastAsia="宋体" w:cs="宋体"/>
          <w:b/>
          <w:sz w:val="30"/>
          <w:szCs w:val="30"/>
        </w:rPr>
        <w:t>附件二</w:t>
      </w:r>
    </w:p>
    <w:p>
      <w:pPr>
        <w:spacing w:line="360" w:lineRule="auto"/>
        <w:ind w:firstLine="3915" w:firstLineChars="1300"/>
        <w:rPr>
          <w:rFonts w:ascii="宋体" w:hAnsi="宋体" w:eastAsia="宋体" w:cs="宋体"/>
          <w:b/>
          <w:bCs/>
          <w:sz w:val="30"/>
          <w:szCs w:val="30"/>
        </w:rPr>
      </w:pPr>
      <w:r>
        <w:rPr>
          <w:rFonts w:ascii="宋体" w:hAnsi="宋体" w:eastAsia="宋体" w:cs="宋体"/>
          <w:b/>
          <w:bCs/>
          <w:sz w:val="30"/>
          <w:szCs w:val="30"/>
        </w:rPr>
        <w:t>货物主要技术参数</w:t>
      </w:r>
    </w:p>
    <w:tbl>
      <w:tblPr>
        <w:tblStyle w:val="31"/>
        <w:tblW w:w="0" w:type="auto"/>
        <w:jc w:val="center"/>
        <w:tblLayout w:type="fixed"/>
        <w:tblCellMar>
          <w:top w:w="0" w:type="dxa"/>
          <w:left w:w="108" w:type="dxa"/>
          <w:bottom w:w="0" w:type="dxa"/>
          <w:right w:w="108" w:type="dxa"/>
        </w:tblCellMar>
      </w:tblPr>
      <w:tblGrid>
        <w:gridCol w:w="1291"/>
        <w:gridCol w:w="7568"/>
      </w:tblGrid>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Cs/>
                <w:sz w:val="24"/>
                <w:szCs w:val="24"/>
              </w:rPr>
            </w:pPr>
            <w:r>
              <w:rPr>
                <w:rFonts w:ascii="宋体" w:hAnsi="宋体" w:eastAsia="宋体" w:cs="宋体"/>
                <w:bCs/>
                <w:sz w:val="24"/>
                <w:szCs w:val="24"/>
              </w:rPr>
              <w:t>货物名称</w:t>
            </w: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Cs/>
                <w:sz w:val="24"/>
                <w:szCs w:val="24"/>
              </w:rPr>
            </w:pPr>
            <w:r>
              <w:rPr>
                <w:rFonts w:ascii="宋体" w:hAnsi="宋体" w:eastAsia="宋体" w:cs="宋体"/>
                <w:bCs/>
                <w:sz w:val="24"/>
                <w:szCs w:val="24"/>
              </w:rPr>
              <w:t>技术参数</w:t>
            </w:r>
          </w:p>
        </w:tc>
      </w:tr>
      <w:tr>
        <w:tblPrEx>
          <w:tblCellMar>
            <w:top w:w="0" w:type="dxa"/>
            <w:left w:w="108" w:type="dxa"/>
            <w:bottom w:w="0" w:type="dxa"/>
            <w:right w:w="108" w:type="dxa"/>
          </w:tblCellMar>
        </w:tblPrEx>
        <w:trPr>
          <w:trHeight w:val="540"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tc>
      </w:tr>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p>
            <w:pPr>
              <w:spacing w:line="280" w:lineRule="exact"/>
              <w:jc w:val="center"/>
              <w:rPr>
                <w:rFonts w:ascii="宋体" w:hAnsi="宋体" w:eastAsia="宋体" w:cs="宋体"/>
                <w:b/>
                <w:sz w:val="24"/>
                <w:szCs w:val="24"/>
              </w:rPr>
            </w:pPr>
          </w:p>
        </w:tc>
      </w:tr>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p>
            <w:pPr>
              <w:spacing w:line="280" w:lineRule="exact"/>
              <w:jc w:val="center"/>
              <w:rPr>
                <w:rFonts w:ascii="宋体" w:hAnsi="宋体" w:eastAsia="宋体" w:cs="宋体"/>
                <w:b/>
                <w:sz w:val="24"/>
                <w:szCs w:val="24"/>
              </w:rPr>
            </w:pPr>
          </w:p>
        </w:tc>
      </w:tr>
    </w:tbl>
    <w:p>
      <w:pPr>
        <w:rPr>
          <w:rFonts w:ascii="宋体" w:hAnsi="宋体" w:eastAsia="宋体" w:cs="宋体"/>
          <w:b/>
          <w:bCs/>
          <w:sz w:val="30"/>
          <w:szCs w:val="30"/>
        </w:rPr>
      </w:pPr>
    </w:p>
    <w:p>
      <w:pPr>
        <w:widowControl/>
        <w:jc w:val="left"/>
        <w:rPr>
          <w:rFonts w:ascii="宋体" w:hAnsi="宋体" w:eastAsia="宋体" w:cs="宋体"/>
          <w:b/>
          <w:bCs/>
          <w:sz w:val="30"/>
          <w:szCs w:val="30"/>
        </w:rPr>
      </w:pPr>
      <w:r>
        <w:rPr>
          <w:rFonts w:ascii="宋体" w:hAnsi="宋体" w:eastAsia="宋体" w:cs="宋体"/>
          <w:b/>
          <w:bCs/>
          <w:sz w:val="30"/>
          <w:szCs w:val="30"/>
        </w:rPr>
        <w:br w:type="page"/>
      </w:r>
    </w:p>
    <w:p>
      <w:pPr>
        <w:rPr>
          <w:rFonts w:ascii="宋体" w:hAnsi="宋体" w:eastAsia="宋体" w:cs="宋体"/>
          <w:b/>
          <w:bCs/>
          <w:sz w:val="30"/>
          <w:szCs w:val="30"/>
        </w:rPr>
      </w:pPr>
      <w:r>
        <w:rPr>
          <w:rFonts w:ascii="宋体" w:hAnsi="宋体" w:eastAsia="宋体" w:cs="宋体"/>
          <w:b/>
          <w:bCs/>
          <w:sz w:val="30"/>
          <w:szCs w:val="30"/>
        </w:rPr>
        <w:t xml:space="preserve">附件三            </w:t>
      </w:r>
    </w:p>
    <w:p>
      <w:pPr>
        <w:ind w:firstLine="3605" w:firstLineChars="1197"/>
        <w:rPr>
          <w:rFonts w:ascii="宋体" w:hAnsi="宋体" w:eastAsia="宋体" w:cs="宋体"/>
          <w:b/>
          <w:bCs/>
          <w:sz w:val="30"/>
          <w:szCs w:val="30"/>
        </w:rPr>
      </w:pPr>
      <w:r>
        <w:rPr>
          <w:rFonts w:ascii="宋体" w:hAnsi="宋体" w:eastAsia="宋体" w:cs="宋体"/>
          <w:b/>
          <w:bCs/>
          <w:sz w:val="30"/>
          <w:szCs w:val="30"/>
        </w:rPr>
        <w:t>售后服务计划书</w:t>
      </w:r>
    </w:p>
    <w:p>
      <w:pPr>
        <w:spacing w:line="440" w:lineRule="exact"/>
        <w:ind w:firstLine="560" w:firstLineChars="200"/>
        <w:rPr>
          <w:rFonts w:ascii="宋体" w:hAnsi="宋体" w:eastAsia="宋体" w:cs="宋体"/>
          <w:sz w:val="28"/>
          <w:szCs w:val="28"/>
        </w:rPr>
      </w:pPr>
      <w:r>
        <w:rPr>
          <w:rFonts w:ascii="宋体" w:hAnsi="宋体" w:eastAsia="宋体" w:cs="宋体"/>
          <w:sz w:val="28"/>
          <w:szCs w:val="28"/>
        </w:rPr>
        <w:t>1.</w:t>
      </w:r>
    </w:p>
    <w:p>
      <w:pPr>
        <w:spacing w:line="440" w:lineRule="exact"/>
        <w:ind w:firstLine="560" w:firstLineChars="200"/>
        <w:rPr>
          <w:rFonts w:ascii="宋体" w:hAnsi="宋体" w:eastAsia="宋体" w:cs="宋体"/>
          <w:spacing w:val="-2"/>
          <w:sz w:val="28"/>
          <w:szCs w:val="28"/>
        </w:rPr>
      </w:pPr>
      <w:r>
        <w:rPr>
          <w:rFonts w:ascii="宋体" w:hAnsi="宋体" w:eastAsia="宋体" w:cs="宋体"/>
          <w:sz w:val="28"/>
          <w:szCs w:val="28"/>
        </w:rPr>
        <w:t>2.</w:t>
      </w:r>
    </w:p>
    <w:p>
      <w:pPr>
        <w:spacing w:line="440" w:lineRule="exact"/>
        <w:ind w:firstLine="552" w:firstLineChars="200"/>
        <w:rPr>
          <w:rFonts w:ascii="宋体" w:hAnsi="宋体" w:eastAsia="宋体" w:cs="宋体"/>
          <w:sz w:val="28"/>
          <w:szCs w:val="28"/>
        </w:rPr>
      </w:pPr>
      <w:r>
        <w:rPr>
          <w:rFonts w:ascii="Arial" w:hAnsi="Arial" w:eastAsia="宋体" w:cs="Arial"/>
          <w:spacing w:val="-2"/>
          <w:sz w:val="28"/>
          <w:szCs w:val="28"/>
        </w:rPr>
        <w:t>…</w:t>
      </w:r>
      <w:r>
        <w:rPr>
          <w:rFonts w:ascii="宋体" w:hAnsi="宋体" w:eastAsia="宋体" w:cs="宋体"/>
          <w:sz w:val="28"/>
          <w:szCs w:val="28"/>
        </w:rPr>
        <w:t xml:space="preserve"> </w:t>
      </w:r>
    </w:p>
    <w:p>
      <w:pPr>
        <w:spacing w:line="440" w:lineRule="exact"/>
        <w:ind w:firstLine="560" w:firstLineChars="200"/>
        <w:rPr>
          <w:rFonts w:ascii="宋体" w:hAnsi="宋体" w:eastAsia="宋体" w:cs="宋体"/>
          <w:sz w:val="28"/>
          <w:szCs w:val="24"/>
        </w:rPr>
      </w:pPr>
      <w:r>
        <w:rPr>
          <w:rFonts w:ascii="宋体" w:hAnsi="宋体" w:eastAsia="宋体" w:cs="宋体"/>
          <w:sz w:val="28"/>
          <w:szCs w:val="28"/>
        </w:rPr>
        <w:t>售后单位名称：</w:t>
      </w:r>
    </w:p>
    <w:p>
      <w:pPr>
        <w:spacing w:line="440" w:lineRule="exact"/>
        <w:ind w:firstLine="560" w:firstLineChars="200"/>
        <w:rPr>
          <w:rFonts w:ascii="宋体" w:hAnsi="宋体" w:eastAsia="宋体" w:cs="宋体"/>
          <w:sz w:val="28"/>
          <w:szCs w:val="24"/>
        </w:rPr>
      </w:pPr>
      <w:r>
        <w:rPr>
          <w:rFonts w:ascii="宋体" w:hAnsi="宋体" w:eastAsia="宋体" w:cs="宋体"/>
          <w:sz w:val="28"/>
          <w:szCs w:val="24"/>
        </w:rPr>
        <w:t>联系人：</w:t>
      </w:r>
    </w:p>
    <w:p>
      <w:pPr>
        <w:spacing w:line="440" w:lineRule="exact"/>
        <w:ind w:firstLine="560" w:firstLineChars="200"/>
        <w:rPr>
          <w:rFonts w:ascii="宋体" w:hAnsi="宋体" w:eastAsia="宋体" w:cs="宋体"/>
          <w:sz w:val="28"/>
          <w:szCs w:val="28"/>
        </w:rPr>
      </w:pPr>
      <w:r>
        <w:rPr>
          <w:rFonts w:ascii="宋体" w:hAnsi="宋体" w:eastAsia="宋体" w:cs="宋体"/>
          <w:sz w:val="28"/>
          <w:szCs w:val="24"/>
        </w:rPr>
        <w:t>电话：</w:t>
      </w:r>
    </w:p>
    <w:p>
      <w:pPr>
        <w:widowControl/>
        <w:jc w:val="left"/>
        <w:rPr>
          <w:rFonts w:ascii="宋体" w:hAnsi="宋体" w:eastAsia="宋体" w:cs="宋体"/>
          <w:b/>
          <w:sz w:val="30"/>
          <w:szCs w:val="30"/>
        </w:rPr>
      </w:pPr>
      <w:r>
        <w:rPr>
          <w:rFonts w:ascii="宋体" w:hAnsi="宋体" w:eastAsia="宋体" w:cs="宋体"/>
          <w:b/>
          <w:sz w:val="30"/>
          <w:szCs w:val="30"/>
        </w:rPr>
        <w:br w:type="page"/>
      </w:r>
    </w:p>
    <w:p>
      <w:pPr>
        <w:rPr>
          <w:rFonts w:ascii="宋体" w:hAnsi="宋体" w:eastAsia="宋体" w:cs="宋体"/>
          <w:b/>
          <w:sz w:val="30"/>
          <w:szCs w:val="30"/>
        </w:rPr>
      </w:pPr>
      <w:r>
        <w:rPr>
          <w:rFonts w:ascii="宋体" w:hAnsi="宋体" w:eastAsia="宋体" w:cs="宋体"/>
          <w:b/>
          <w:sz w:val="30"/>
          <w:szCs w:val="30"/>
        </w:rPr>
        <w:t>附件四                到货验收报告</w:t>
      </w:r>
    </w:p>
    <w:p>
      <w:pPr>
        <w:rPr>
          <w:rFonts w:ascii="宋体" w:hAnsi="宋体" w:eastAsia="宋体" w:cs="宋体"/>
          <w:sz w:val="10"/>
          <w:szCs w:val="10"/>
        </w:rPr>
      </w:pPr>
    </w:p>
    <w:tbl>
      <w:tblPr>
        <w:tblStyle w:val="31"/>
        <w:tblW w:w="0" w:type="auto"/>
        <w:jc w:val="center"/>
        <w:tblLayout w:type="fixed"/>
        <w:tblCellMar>
          <w:top w:w="0" w:type="dxa"/>
          <w:left w:w="108" w:type="dxa"/>
          <w:bottom w:w="0" w:type="dxa"/>
          <w:right w:w="108" w:type="dxa"/>
        </w:tblCellMar>
      </w:tblPr>
      <w:tblGrid>
        <w:gridCol w:w="682"/>
        <w:gridCol w:w="595"/>
        <w:gridCol w:w="266"/>
        <w:gridCol w:w="2407"/>
        <w:gridCol w:w="2601"/>
        <w:gridCol w:w="1241"/>
        <w:gridCol w:w="1327"/>
      </w:tblGrid>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供应商</w:t>
            </w:r>
          </w:p>
        </w:tc>
        <w:tc>
          <w:tcPr>
            <w:tcW w:w="7576"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使用单位</w:t>
            </w:r>
          </w:p>
        </w:tc>
        <w:tc>
          <w:tcPr>
            <w:tcW w:w="7576"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合同号</w:t>
            </w:r>
          </w:p>
        </w:tc>
        <w:tc>
          <w:tcPr>
            <w:tcW w:w="240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6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主要货物名称</w:t>
            </w:r>
          </w:p>
        </w:tc>
        <w:tc>
          <w:tcPr>
            <w:tcW w:w="256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1055"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合同规定</w:t>
            </w:r>
          </w:p>
          <w:p>
            <w:pPr>
              <w:jc w:val="center"/>
              <w:rPr>
                <w:rFonts w:ascii="宋体" w:hAnsi="宋体" w:eastAsia="宋体" w:cs="宋体"/>
                <w:sz w:val="24"/>
                <w:szCs w:val="24"/>
              </w:rPr>
            </w:pPr>
            <w:r>
              <w:rPr>
                <w:rFonts w:ascii="宋体" w:hAnsi="宋体" w:eastAsia="宋体" w:cs="宋体"/>
                <w:sz w:val="24"/>
                <w:szCs w:val="24"/>
              </w:rPr>
              <w:t>到货日期</w:t>
            </w:r>
          </w:p>
        </w:tc>
        <w:tc>
          <w:tcPr>
            <w:tcW w:w="240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6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实际到货日期</w:t>
            </w:r>
          </w:p>
          <w:p>
            <w:pPr>
              <w:jc w:val="center"/>
              <w:rPr>
                <w:rFonts w:ascii="宋体" w:hAnsi="宋体" w:eastAsia="宋体" w:cs="宋体"/>
                <w:sz w:val="24"/>
                <w:szCs w:val="24"/>
              </w:rPr>
            </w:pPr>
            <w:r>
              <w:rPr>
                <w:rFonts w:ascii="宋体" w:hAnsi="宋体" w:eastAsia="宋体" w:cs="宋体"/>
                <w:sz w:val="24"/>
                <w:szCs w:val="24"/>
              </w:rPr>
              <w:t>(即报送此表的日期，由国资处填写)</w:t>
            </w:r>
          </w:p>
        </w:tc>
        <w:tc>
          <w:tcPr>
            <w:tcW w:w="256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745" w:hRule="exact"/>
          <w:jc w:val="center"/>
        </w:trPr>
        <w:tc>
          <w:tcPr>
            <w:tcW w:w="682"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验收情况说</w:t>
            </w: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设备外观质量（损伤、损坏、锈蚀情况）是否合格</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合格</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不合格</w:t>
            </w:r>
          </w:p>
        </w:tc>
      </w:tr>
      <w:tr>
        <w:tblPrEx>
          <w:tblCellMar>
            <w:top w:w="0" w:type="dxa"/>
            <w:left w:w="108" w:type="dxa"/>
            <w:bottom w:w="0" w:type="dxa"/>
            <w:right w:w="108" w:type="dxa"/>
          </w:tblCellMar>
        </w:tblPrEx>
        <w:trPr>
          <w:trHeight w:val="730" w:hRule="exact"/>
          <w:jc w:val="center"/>
        </w:trPr>
        <w:tc>
          <w:tcPr>
            <w:tcW w:w="682"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产品设备、零配件、工具等数量是否齐全（按合同检查）</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齐全</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不齐全</w:t>
            </w:r>
          </w:p>
        </w:tc>
      </w:tr>
      <w:tr>
        <w:tblPrEx>
          <w:tblCellMar>
            <w:top w:w="0" w:type="dxa"/>
            <w:left w:w="108" w:type="dxa"/>
            <w:bottom w:w="0" w:type="dxa"/>
            <w:right w:w="108" w:type="dxa"/>
          </w:tblCellMar>
        </w:tblPrEx>
        <w:trPr>
          <w:trHeight w:val="775" w:hRule="exact"/>
          <w:jc w:val="center"/>
        </w:trPr>
        <w:tc>
          <w:tcPr>
            <w:tcW w:w="682"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设备名称、规格、型号、制造商是否完全符合合同要求（按采购合同检查）</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符合</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不符合</w:t>
            </w:r>
          </w:p>
        </w:tc>
      </w:tr>
      <w:tr>
        <w:tblPrEx>
          <w:tblCellMar>
            <w:top w:w="0" w:type="dxa"/>
            <w:left w:w="108" w:type="dxa"/>
            <w:bottom w:w="0" w:type="dxa"/>
            <w:right w:w="108" w:type="dxa"/>
          </w:tblCellMar>
        </w:tblPrEx>
        <w:trPr>
          <w:trHeight w:val="1279"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供应商</w:t>
            </w:r>
          </w:p>
          <w:p>
            <w:pPr>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r>
              <w:rPr>
                <w:rFonts w:ascii="宋体" w:hAnsi="宋体" w:eastAsia="宋体" w:cs="宋体"/>
                <w:sz w:val="24"/>
                <w:szCs w:val="24"/>
              </w:rPr>
              <w:t>（上述验收情况是否属实，有无其他说明）</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代表（签字）：                         年    月    日</w:t>
            </w:r>
          </w:p>
        </w:tc>
      </w:tr>
      <w:tr>
        <w:tblPrEx>
          <w:tblCellMar>
            <w:top w:w="0" w:type="dxa"/>
            <w:left w:w="108" w:type="dxa"/>
            <w:bottom w:w="0" w:type="dxa"/>
            <w:right w:w="108" w:type="dxa"/>
          </w:tblCellMar>
        </w:tblPrEx>
        <w:trPr>
          <w:trHeight w:val="1711"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使用单位</w:t>
            </w:r>
          </w:p>
          <w:p>
            <w:pPr>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r>
              <w:rPr>
                <w:rFonts w:ascii="宋体" w:hAnsi="宋体" w:eastAsia="宋体" w:cs="宋体"/>
                <w:sz w:val="24"/>
                <w:szCs w:val="24"/>
              </w:rPr>
              <w:t>（上述验收情况是否属实，有无其他说明）</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负责人（签字）：                        年    月    日</w:t>
            </w:r>
          </w:p>
        </w:tc>
      </w:tr>
      <w:tr>
        <w:tblPrEx>
          <w:tblCellMar>
            <w:top w:w="0" w:type="dxa"/>
            <w:left w:w="108" w:type="dxa"/>
            <w:bottom w:w="0" w:type="dxa"/>
            <w:right w:w="108" w:type="dxa"/>
          </w:tblCellMar>
        </w:tblPrEx>
        <w:trPr>
          <w:trHeight w:val="1072"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tabs>
                <w:tab w:val="left" w:pos="6120"/>
              </w:tabs>
              <w:snapToGrid w:val="0"/>
              <w:jc w:val="center"/>
              <w:rPr>
                <w:rFonts w:ascii="宋体" w:hAnsi="宋体" w:eastAsia="宋体" w:cs="宋体"/>
                <w:sz w:val="24"/>
                <w:szCs w:val="24"/>
              </w:rPr>
            </w:pPr>
            <w:r>
              <w:rPr>
                <w:rFonts w:ascii="宋体" w:hAnsi="宋体" w:eastAsia="宋体" w:cs="宋体"/>
                <w:sz w:val="24"/>
                <w:szCs w:val="24"/>
              </w:rPr>
              <w:t>验收小组</w:t>
            </w:r>
          </w:p>
          <w:p>
            <w:pPr>
              <w:tabs>
                <w:tab w:val="left" w:pos="6120"/>
              </w:tabs>
              <w:snapToGrid w:val="0"/>
              <w:jc w:val="center"/>
              <w:rPr>
                <w:rFonts w:ascii="宋体" w:hAnsi="宋体" w:eastAsia="宋体" w:cs="宋体"/>
                <w:sz w:val="24"/>
                <w:szCs w:val="24"/>
              </w:rPr>
            </w:pPr>
            <w:r>
              <w:rPr>
                <w:rFonts w:ascii="宋体" w:hAnsi="宋体" w:eastAsia="宋体" w:cs="宋体"/>
                <w:sz w:val="24"/>
                <w:szCs w:val="24"/>
              </w:rPr>
              <w:t>成员意见</w:t>
            </w:r>
          </w:p>
        </w:tc>
        <w:tc>
          <w:tcPr>
            <w:tcW w:w="7842" w:type="dxa"/>
            <w:gridSpan w:val="5"/>
            <w:tcBorders>
              <w:top w:val="single" w:color="000000" w:sz="4" w:space="0"/>
              <w:left w:val="single" w:color="000000" w:sz="4" w:space="0"/>
              <w:bottom w:val="single" w:color="000000" w:sz="4" w:space="0"/>
              <w:right w:val="single" w:color="000000" w:sz="4" w:space="0"/>
            </w:tcBorders>
          </w:tcPr>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（单件十万元以上设备参与）</w:t>
            </w:r>
          </w:p>
          <w:p>
            <w:pPr>
              <w:tabs>
                <w:tab w:val="left" w:pos="3832"/>
                <w:tab w:val="left" w:pos="6120"/>
              </w:tabs>
              <w:snapToGrid w:val="0"/>
              <w:rPr>
                <w:rFonts w:ascii="宋体" w:hAnsi="宋体" w:eastAsia="宋体" w:cs="宋体"/>
                <w:sz w:val="24"/>
                <w:szCs w:val="24"/>
              </w:rPr>
            </w:pPr>
          </w:p>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签名：                                 年    月    日</w:t>
            </w:r>
          </w:p>
        </w:tc>
      </w:tr>
      <w:tr>
        <w:tblPrEx>
          <w:tblCellMar>
            <w:top w:w="0" w:type="dxa"/>
            <w:left w:w="108" w:type="dxa"/>
            <w:bottom w:w="0" w:type="dxa"/>
            <w:right w:w="108" w:type="dxa"/>
          </w:tblCellMar>
        </w:tblPrEx>
        <w:trPr>
          <w:trHeight w:val="1560"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tabs>
                <w:tab w:val="left" w:pos="6120"/>
              </w:tabs>
              <w:snapToGrid w:val="0"/>
              <w:jc w:val="center"/>
              <w:rPr>
                <w:rFonts w:ascii="宋体" w:hAnsi="宋体" w:eastAsia="宋体" w:cs="宋体"/>
                <w:sz w:val="24"/>
                <w:szCs w:val="24"/>
              </w:rPr>
            </w:pPr>
            <w:r>
              <w:rPr>
                <w:rFonts w:ascii="宋体" w:hAnsi="宋体" w:eastAsia="宋体" w:cs="宋体"/>
                <w:sz w:val="24"/>
                <w:szCs w:val="24"/>
              </w:rPr>
              <w:t>校档案室</w:t>
            </w:r>
          </w:p>
          <w:p>
            <w:pPr>
              <w:tabs>
                <w:tab w:val="left" w:pos="6120"/>
              </w:tabs>
              <w:snapToGrid w:val="0"/>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snapToGrid w:val="0"/>
              <w:spacing w:before="156" w:beforeLines="50"/>
              <w:rPr>
                <w:rFonts w:ascii="宋体" w:hAnsi="宋体" w:eastAsia="宋体" w:cs="宋体"/>
                <w:sz w:val="24"/>
                <w:szCs w:val="24"/>
              </w:rPr>
            </w:pPr>
            <w:r>
              <w:rPr>
                <w:rFonts w:ascii="宋体" w:hAnsi="宋体" w:eastAsia="宋体" w:cs="宋体"/>
                <w:sz w:val="24"/>
                <w:szCs w:val="24"/>
              </w:rPr>
              <w:t>大型仪器设备存档资料：</w:t>
            </w:r>
          </w:p>
          <w:p>
            <w:pPr>
              <w:rPr>
                <w:rFonts w:ascii="宋体" w:hAnsi="宋体" w:eastAsia="宋体" w:cs="宋体"/>
                <w:sz w:val="24"/>
                <w:szCs w:val="24"/>
              </w:rPr>
            </w:pPr>
          </w:p>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负责人（签字）：                        年    月    日</w:t>
            </w:r>
          </w:p>
        </w:tc>
      </w:tr>
    </w:tbl>
    <w:p>
      <w:pPr>
        <w:spacing w:line="360" w:lineRule="auto"/>
        <w:rPr>
          <w:rFonts w:ascii="宋体" w:hAnsi="宋体" w:eastAsia="宋体" w:cs="宋体"/>
          <w:sz w:val="24"/>
          <w:szCs w:val="24"/>
        </w:rPr>
      </w:pPr>
    </w:p>
    <w:p>
      <w:pPr>
        <w:widowControl/>
        <w:jc w:val="left"/>
        <w:rPr>
          <w:rFonts w:asciiTheme="minorEastAsia" w:hAnsiTheme="minorEastAsia"/>
          <w:b/>
          <w:bCs/>
          <w:kern w:val="44"/>
          <w:sz w:val="32"/>
          <w:szCs w:val="44"/>
        </w:rPr>
      </w:pPr>
      <w:r>
        <w:rPr>
          <w:rFonts w:asciiTheme="minorEastAsia" w:hAnsiTheme="minorEastAsia"/>
          <w:sz w:val="32"/>
        </w:rPr>
        <w:br w:type="page"/>
      </w:r>
    </w:p>
    <w:p>
      <w:pPr>
        <w:pStyle w:val="3"/>
        <w:spacing w:before="0" w:after="0"/>
        <w:jc w:val="center"/>
        <w:rPr>
          <w:rFonts w:asciiTheme="minorEastAsia" w:hAnsiTheme="minorEastAsia"/>
          <w:sz w:val="32"/>
        </w:rPr>
      </w:pPr>
      <w:bookmarkStart w:id="47" w:name="_Toc143350528"/>
      <w:r>
        <w:rPr>
          <w:rFonts w:hint="eastAsia" w:asciiTheme="minorEastAsia" w:hAnsiTheme="minorEastAsia"/>
          <w:sz w:val="32"/>
        </w:rPr>
        <w:t>第五章 投标文件格式</w:t>
      </w:r>
      <w:bookmarkEnd w:id="47"/>
    </w:p>
    <w:p>
      <w:pPr>
        <w:jc w:val="left"/>
        <w:rPr>
          <w:rFonts w:asciiTheme="minorEastAsia" w:hAnsiTheme="minorEastAsia"/>
          <w:b/>
          <w:sz w:val="28"/>
        </w:rPr>
      </w:pPr>
      <w:r>
        <w:rPr>
          <w:rFonts w:hint="eastAsia" w:asciiTheme="minorEastAsia" w:hAnsiTheme="minorEastAsia"/>
          <w:b/>
          <w:sz w:val="28"/>
        </w:rPr>
        <w:t xml:space="preserve">封面格式                     </w:t>
      </w: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（项目名称）</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44"/>
        </w:rPr>
      </w:pPr>
      <w:r>
        <w:rPr>
          <w:rFonts w:hint="eastAsia" w:asciiTheme="minorEastAsia" w:hAnsiTheme="minorEastAsia"/>
          <w:b/>
          <w:sz w:val="44"/>
        </w:rPr>
        <w:t>投  标 文 件</w:t>
      </w:r>
    </w:p>
    <w:p>
      <w:pPr>
        <w:jc w:val="center"/>
        <w:rPr>
          <w:rFonts w:asciiTheme="minorEastAsia" w:hAnsiTheme="minorEastAsia"/>
          <w:b/>
          <w:sz w:val="28"/>
        </w:rPr>
      </w:pPr>
      <w:r>
        <w:rPr>
          <w:rFonts w:hint="eastAsia" w:asciiTheme="minorEastAsia" w:hAnsiTheme="minorEastAsia"/>
          <w:b/>
          <w:sz w:val="28"/>
        </w:rPr>
        <w:t>编号：</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投标人：（企业电子签章或公章）</w:t>
      </w:r>
    </w:p>
    <w:p>
      <w:pPr>
        <w:jc w:val="center"/>
        <w:rPr>
          <w:rFonts w:asciiTheme="minorEastAsia" w:hAnsiTheme="minorEastAsia"/>
          <w:b/>
          <w:sz w:val="28"/>
        </w:rPr>
      </w:pPr>
      <w:r>
        <w:rPr>
          <w:rFonts w:hint="eastAsia" w:asciiTheme="minorEastAsia" w:hAnsiTheme="minorEastAsia"/>
          <w:b/>
          <w:sz w:val="28"/>
        </w:rPr>
        <w:t>法定代表人或其委托代理人：（个人电子签章或签字）</w:t>
      </w:r>
    </w:p>
    <w:p>
      <w:pPr>
        <w:jc w:val="center"/>
        <w:rPr>
          <w:rFonts w:asciiTheme="minorEastAsia" w:hAnsiTheme="minorEastAsia"/>
          <w:b/>
          <w:sz w:val="28"/>
        </w:rPr>
      </w:pPr>
      <w:r>
        <w:rPr>
          <w:rFonts w:hint="eastAsia" w:asciiTheme="minorEastAsia" w:hAnsiTheme="minorEastAsia"/>
          <w:b/>
          <w:sz w:val="28"/>
        </w:rPr>
        <w:t>年         月</w:t>
      </w:r>
    </w:p>
    <w:p>
      <w:pPr>
        <w:jc w:val="center"/>
        <w:rPr>
          <w:rFonts w:asciiTheme="minorEastAsia" w:hAnsiTheme="minorEastAsia"/>
          <w:b/>
          <w:sz w:val="28"/>
        </w:rPr>
      </w:pPr>
    </w:p>
    <w:p>
      <w:pPr>
        <w:pStyle w:val="23"/>
        <w:spacing w:before="0" w:after="0"/>
        <w:rPr>
          <w:sz w:val="28"/>
        </w:rPr>
      </w:pPr>
      <w:bookmarkStart w:id="48" w:name="_Toc143350529"/>
      <w:r>
        <w:rPr>
          <w:rFonts w:hint="eastAsia"/>
          <w:sz w:val="28"/>
        </w:rPr>
        <w:t>第一部分资格证明文件</w:t>
      </w:r>
      <w:bookmarkEnd w:id="48"/>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4"/>
        </w:rPr>
      </w:pPr>
      <w:bookmarkStart w:id="49" w:name="_Toc143350530"/>
      <w:r>
        <w:rPr>
          <w:rFonts w:hint="eastAsia"/>
          <w:sz w:val="24"/>
        </w:rPr>
        <w:t>一、法定代表人授权委托书</w:t>
      </w:r>
      <w:bookmarkEnd w:id="49"/>
    </w:p>
    <w:p>
      <w:pPr>
        <w:spacing w:line="480" w:lineRule="auto"/>
        <w:rPr>
          <w:rFonts w:asciiTheme="minorEastAsia" w:hAnsiTheme="minorEastAsia"/>
          <w:sz w:val="24"/>
        </w:rPr>
      </w:pPr>
      <w:r>
        <w:rPr>
          <w:rFonts w:hint="eastAsia" w:asciiTheme="minorEastAsia" w:hAnsiTheme="minorEastAsia"/>
          <w:sz w:val="24"/>
        </w:rPr>
        <w:t xml:space="preserve">    本授权书声明：注册于</w:t>
      </w:r>
      <w:r>
        <w:rPr>
          <w:rFonts w:hint="eastAsia" w:asciiTheme="minorEastAsia" w:hAnsiTheme="minorEastAsia"/>
          <w:sz w:val="24"/>
          <w:u w:val="single"/>
        </w:rPr>
        <w:t>（注册地址名称）</w:t>
      </w:r>
      <w:r>
        <w:rPr>
          <w:rFonts w:hint="eastAsia" w:asciiTheme="minorEastAsia" w:hAnsiTheme="minorEastAsia"/>
          <w:sz w:val="24"/>
        </w:rPr>
        <w:t>的（</w:t>
      </w:r>
      <w:r>
        <w:rPr>
          <w:rFonts w:hint="eastAsia" w:asciiTheme="minorEastAsia" w:hAnsiTheme="minorEastAsia"/>
          <w:sz w:val="24"/>
          <w:u w:val="single"/>
        </w:rPr>
        <w:t>投标人全名）</w:t>
      </w:r>
      <w:r>
        <w:rPr>
          <w:rFonts w:hint="eastAsia" w:asciiTheme="minorEastAsia" w:hAnsiTheme="minorEastAsia"/>
          <w:sz w:val="24"/>
        </w:rPr>
        <w:t>的在下面签字的             （</w:t>
      </w:r>
      <w:r>
        <w:rPr>
          <w:rFonts w:hint="eastAsia" w:asciiTheme="minorEastAsia" w:hAnsiTheme="minorEastAsia"/>
          <w:sz w:val="24"/>
          <w:u w:val="single"/>
        </w:rPr>
        <w:t>法定代表人姓名、职务）</w:t>
      </w:r>
      <w:r>
        <w:rPr>
          <w:rFonts w:hint="eastAsia" w:asciiTheme="minorEastAsia" w:hAnsiTheme="minorEastAsia"/>
          <w:sz w:val="24"/>
        </w:rPr>
        <w:t>代表本公司授权</w:t>
      </w:r>
      <w:r>
        <w:rPr>
          <w:rFonts w:hint="eastAsia" w:asciiTheme="minorEastAsia" w:hAnsiTheme="minorEastAsia"/>
          <w:sz w:val="24"/>
          <w:u w:val="single"/>
        </w:rPr>
        <w:t>（单位名称）</w:t>
      </w:r>
      <w:r>
        <w:rPr>
          <w:rFonts w:hint="eastAsia" w:asciiTheme="minorEastAsia" w:hAnsiTheme="minorEastAsia"/>
          <w:sz w:val="24"/>
        </w:rPr>
        <w:t xml:space="preserve">的在下面签字的            </w:t>
      </w:r>
      <w:r>
        <w:rPr>
          <w:rFonts w:hint="eastAsia" w:asciiTheme="minorEastAsia" w:hAnsiTheme="minorEastAsia"/>
          <w:sz w:val="24"/>
          <w:u w:val="single"/>
        </w:rPr>
        <w:t>（被授权人的姓名、职务）</w:t>
      </w:r>
      <w:r>
        <w:rPr>
          <w:rFonts w:hint="eastAsia" w:asciiTheme="minorEastAsia" w:hAnsiTheme="minorEastAsia"/>
          <w:sz w:val="24"/>
        </w:rPr>
        <w:t xml:space="preserve">为本公司的合法代理人，就招标编号为              </w:t>
      </w:r>
      <w:r>
        <w:rPr>
          <w:rFonts w:hint="eastAsia" w:asciiTheme="minorEastAsia" w:hAnsiTheme="minorEastAsia"/>
          <w:sz w:val="24"/>
          <w:u w:val="single"/>
        </w:rPr>
        <w:t>（项目编号）（项目名称）</w:t>
      </w:r>
      <w:r>
        <w:rPr>
          <w:rFonts w:hint="eastAsia" w:asciiTheme="minorEastAsia" w:hAnsiTheme="minorEastAsia"/>
          <w:sz w:val="24"/>
        </w:rPr>
        <w:t>的投标及合同执行，以本公司名义处理一切与之有关的事务。</w:t>
      </w:r>
    </w:p>
    <w:p>
      <w:pPr>
        <w:spacing w:line="480" w:lineRule="auto"/>
        <w:rPr>
          <w:rFonts w:asciiTheme="minorEastAsia" w:hAnsiTheme="minorEastAsia"/>
          <w:sz w:val="24"/>
        </w:rPr>
      </w:pPr>
      <w:r>
        <w:rPr>
          <w:rFonts w:hint="eastAsia" w:asciiTheme="minorEastAsia" w:hAnsiTheme="minorEastAsia"/>
          <w:sz w:val="24"/>
        </w:rPr>
        <w:t xml:space="preserve">    本授权书于</w:t>
      </w:r>
      <w:r>
        <w:rPr>
          <w:rFonts w:hint="eastAsia" w:asciiTheme="minorEastAsia" w:hAnsiTheme="minorEastAsia"/>
          <w:sz w:val="24"/>
          <w:u w:val="single"/>
        </w:rPr>
        <w:t xml:space="preserve">     </w:t>
      </w:r>
      <w:r>
        <w:rPr>
          <w:rFonts w:hint="eastAsia" w:asciiTheme="minorEastAsia" w:hAnsiTheme="minorEastAsia"/>
          <w:sz w:val="24"/>
        </w:rPr>
        <w:t>年</w:t>
      </w:r>
      <w:r>
        <w:rPr>
          <w:rFonts w:hint="eastAsia" w:asciiTheme="minorEastAsia" w:hAnsiTheme="minorEastAsia"/>
          <w:sz w:val="24"/>
          <w:u w:val="single"/>
        </w:rPr>
        <w:t xml:space="preserve">     </w:t>
      </w:r>
      <w:r>
        <w:rPr>
          <w:rFonts w:hint="eastAsia" w:asciiTheme="minorEastAsia" w:hAnsiTheme="minorEastAsia"/>
          <w:sz w:val="24"/>
        </w:rPr>
        <w:t>月</w:t>
      </w:r>
      <w:r>
        <w:rPr>
          <w:rFonts w:hint="eastAsia" w:asciiTheme="minorEastAsia" w:hAnsiTheme="minorEastAsia"/>
          <w:sz w:val="24"/>
          <w:u w:val="single"/>
        </w:rPr>
        <w:t xml:space="preserve">     </w:t>
      </w:r>
      <w:r>
        <w:rPr>
          <w:rFonts w:hint="eastAsia" w:asciiTheme="minorEastAsia" w:hAnsiTheme="minorEastAsia"/>
          <w:sz w:val="24"/>
        </w:rPr>
        <w:t>日签字生效，特此声明。</w:t>
      </w:r>
    </w:p>
    <w:tbl>
      <w:tblPr>
        <w:tblStyle w:val="31"/>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rPr>
            </w:pPr>
            <w:r>
              <w:rPr>
                <w:rFonts w:hint="eastAsia" w:ascii="宋体"/>
              </w:rPr>
              <w:t>法定代表人身份证复印件（正面）</w:t>
            </w:r>
          </w:p>
        </w:tc>
        <w:tc>
          <w:tcPr>
            <w:tcW w:w="4485" w:type="dxa"/>
            <w:vAlign w:val="center"/>
          </w:tcPr>
          <w:p>
            <w:pPr>
              <w:jc w:val="center"/>
              <w:rPr>
                <w:rFonts w:ascii="宋体"/>
              </w:rPr>
            </w:pPr>
            <w:r>
              <w:rPr>
                <w:rFonts w:hint="eastAsia" w:ascii="宋体"/>
              </w:rPr>
              <w:t>法定代表人身份证复印件（反面）</w:t>
            </w:r>
          </w:p>
        </w:tc>
      </w:tr>
    </w:tbl>
    <w:p>
      <w:pPr>
        <w:jc w:val="center"/>
        <w:rPr>
          <w:rFonts w:ascii="宋体"/>
        </w:rPr>
      </w:pPr>
    </w:p>
    <w:tbl>
      <w:tblPr>
        <w:tblStyle w:val="31"/>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pPr>
            <w:bookmarkStart w:id="50" w:name="_资格证明文件"/>
            <w:bookmarkEnd w:id="50"/>
            <w:bookmarkStart w:id="51" w:name="_Toc364329026"/>
            <w:r>
              <w:rPr>
                <w:rFonts w:hint="eastAsia"/>
              </w:rPr>
              <w:t>法定代表人授权代表身份证（正面）</w:t>
            </w:r>
            <w:bookmarkEnd w:id="51"/>
          </w:p>
        </w:tc>
        <w:tc>
          <w:tcPr>
            <w:tcW w:w="4492" w:type="dxa"/>
            <w:vAlign w:val="center"/>
          </w:tcPr>
          <w:p>
            <w:pPr>
              <w:jc w:val="center"/>
            </w:pPr>
            <w:bookmarkStart w:id="52" w:name="_Toc364329027"/>
            <w:r>
              <w:rPr>
                <w:rFonts w:hint="eastAsia"/>
              </w:rPr>
              <w:t>法定代表人授权代表身份证（</w:t>
            </w:r>
            <w:r>
              <w:rPr>
                <w:rFonts w:hint="eastAsia" w:ascii="宋体"/>
              </w:rPr>
              <w:t>反面</w:t>
            </w:r>
            <w:r>
              <w:rPr>
                <w:rFonts w:hint="eastAsia"/>
              </w:rPr>
              <w:t>）</w:t>
            </w:r>
            <w:bookmarkEnd w:id="52"/>
          </w:p>
        </w:tc>
      </w:tr>
    </w:tbl>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法定代表人（个人电子签章或签字）：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授权代表（个人电子签章或签字）：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投标人名称（企业电子签章或公章）：</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公司地址：</w:t>
      </w:r>
    </w:p>
    <w:p>
      <w:pPr>
        <w:rPr>
          <w:sz w:val="24"/>
        </w:rPr>
      </w:pPr>
      <w:r>
        <w:rPr>
          <w:rFonts w:hint="eastAsia"/>
          <w:sz w:val="24"/>
        </w:rPr>
        <w:br w:type="page"/>
      </w:r>
    </w:p>
    <w:p>
      <w:pPr>
        <w:pStyle w:val="5"/>
        <w:spacing w:before="0" w:after="0"/>
        <w:jc w:val="center"/>
        <w:textAlignment w:val="baseline"/>
        <w:rPr>
          <w:sz w:val="24"/>
        </w:rPr>
      </w:pPr>
      <w:bookmarkStart w:id="53" w:name="_Toc143350531"/>
      <w:r>
        <w:rPr>
          <w:rFonts w:hint="eastAsia"/>
          <w:sz w:val="24"/>
        </w:rPr>
        <w:t>二、资格承诺声明函</w:t>
      </w:r>
      <w:bookmarkEnd w:id="53"/>
    </w:p>
    <w:p>
      <w:pPr>
        <w:jc w:val="center"/>
        <w:textAlignment w:val="baseline"/>
        <w:rPr>
          <w:sz w:val="24"/>
        </w:rPr>
      </w:pPr>
    </w:p>
    <w:p>
      <w:pPr>
        <w:adjustRightInd w:val="0"/>
        <w:snapToGrid w:val="0"/>
        <w:spacing w:line="500" w:lineRule="exact"/>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u w:val="single"/>
        </w:rPr>
        <w:t>致采购人及采购代理机构</w:t>
      </w:r>
      <w:r>
        <w:rPr>
          <w:rFonts w:hint="eastAsia" w:cs="仿宋_GB2312" w:asciiTheme="minorEastAsia" w:hAnsiTheme="minorEastAsia"/>
          <w:kern w:val="0"/>
          <w:sz w:val="24"/>
          <w:szCs w:val="24"/>
        </w:rPr>
        <w:t>：</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sz w:val="24"/>
          <w:szCs w:val="24"/>
        </w:rPr>
        <w:t>我单位自愿参加本次政府采购活动，严格遵守《中华人民共和国政府采购法》及相关法律法规，依法诚信经营，依法遵守本次政府采购活动的各项规定。我单位郑重承诺</w:t>
      </w:r>
      <w:r>
        <w:rPr>
          <w:rFonts w:hint="eastAsia" w:cs="仿宋_GB2312" w:asciiTheme="minorEastAsia" w:hAnsiTheme="minorEastAsia"/>
          <w:kern w:val="0"/>
          <w:sz w:val="24"/>
          <w:szCs w:val="24"/>
        </w:rPr>
        <w:t>声明如下：</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一、我单位全称为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注册地点为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统一社会信用代码为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法定代表人（单位负责人）为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联系方式为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 xml:space="preserve">      </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二、我单位具有独立承担民事责任的能力。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三、我单位具有良好的商业信誉和健全的财务会计制度。</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四、我单位具有履行合同所必需的设备和专业技术能力。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五、我单位有依法缴纳税收和社会保障资金的良好记录。</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七、我单位具备法律、行政法规规定的其他条件。</w:t>
      </w:r>
    </w:p>
    <w:p>
      <w:pPr>
        <w:adjustRightInd w:val="0"/>
        <w:snapToGrid w:val="0"/>
        <w:spacing w:line="500" w:lineRule="exact"/>
        <w:ind w:firstLine="480" w:firstLineChars="200"/>
        <w:contextualSpacing/>
        <w:textAlignment w:val="baseline"/>
        <w:rPr>
          <w:rFonts w:cs="Times New Roman" w:asciiTheme="minorEastAsia" w:hAnsiTheme="minorEastAsia"/>
          <w:kern w:val="0"/>
          <w:sz w:val="24"/>
          <w:szCs w:val="24"/>
        </w:rPr>
      </w:pPr>
      <w:r>
        <w:rPr>
          <w:rFonts w:hint="eastAsia" w:cs="仿宋_GB2312" w:asciiTheme="minorEastAsia" w:hAnsiTheme="minorEastAsia"/>
          <w:kern w:val="0"/>
          <w:sz w:val="24"/>
          <w:szCs w:val="24"/>
        </w:rPr>
        <w:t>我单位保证上述声明的事项都是真实的，符合《中华人民共和国</w:t>
      </w:r>
      <w:r>
        <w:rPr>
          <w:rFonts w:hint="eastAsia" w:cs="Times New Roman" w:asciiTheme="minorEastAsia" w:hAnsiTheme="minorEastAsia"/>
          <w:kern w:val="0"/>
          <w:sz w:val="24"/>
          <w:szCs w:val="24"/>
        </w:rPr>
        <w:t>政府采购法》规定的供应商资格条件。如有弄虚作假，</w:t>
      </w:r>
      <w:r>
        <w:rPr>
          <w:rFonts w:cs="Times New Roman" w:asciiTheme="minorEastAsia" w:hAnsiTheme="minorEastAsia"/>
          <w:kern w:val="0"/>
          <w:sz w:val="24"/>
          <w:szCs w:val="24"/>
        </w:rPr>
        <w:t>我单位愿意</w:t>
      </w:r>
      <w:r>
        <w:rPr>
          <w:rFonts w:hint="eastAsia" w:cs="Times New Roman" w:asciiTheme="minorEastAsia" w:hAnsiTheme="minorEastAsia"/>
          <w:kern w:val="0"/>
          <w:sz w:val="24"/>
          <w:szCs w:val="24"/>
        </w:rPr>
        <w:t>按照“</w:t>
      </w:r>
      <w:r>
        <w:rPr>
          <w:rFonts w:hint="eastAsia" w:cs="仿宋_GB2312" w:asciiTheme="minorEastAsia" w:hAnsiTheme="minorEastAsia"/>
          <w:sz w:val="24"/>
          <w:szCs w:val="24"/>
        </w:rPr>
        <w:t>提供虚假材料谋取中标、成交</w:t>
      </w:r>
      <w:r>
        <w:rPr>
          <w:rFonts w:hint="eastAsia" w:cs="Times New Roman" w:asciiTheme="minorEastAsia" w:hAnsiTheme="minorEastAsia"/>
          <w:kern w:val="0"/>
          <w:sz w:val="24"/>
          <w:szCs w:val="24"/>
        </w:rPr>
        <w:t>”</w:t>
      </w:r>
      <w:r>
        <w:rPr>
          <w:rFonts w:cs="Times New Roman" w:asciiTheme="minorEastAsia" w:hAnsiTheme="minorEastAsia"/>
          <w:kern w:val="0"/>
          <w:sz w:val="24"/>
          <w:szCs w:val="24"/>
        </w:rPr>
        <w:t>承担相应的法律责任，</w:t>
      </w:r>
      <w:r>
        <w:rPr>
          <w:rFonts w:hint="eastAsia" w:cs="Times New Roman" w:asciiTheme="minorEastAsia" w:hAnsiTheme="minorEastAsia"/>
          <w:kern w:val="0"/>
          <w:sz w:val="24"/>
          <w:szCs w:val="24"/>
        </w:rPr>
        <w:t>同意将违背承诺行为作为失信行为记录到社会信用信息平台，</w:t>
      </w:r>
      <w:r>
        <w:rPr>
          <w:rFonts w:cs="Times New Roman" w:asciiTheme="minorEastAsia" w:hAnsiTheme="minorEastAsia"/>
          <w:kern w:val="0"/>
          <w:sz w:val="24"/>
          <w:szCs w:val="24"/>
        </w:rPr>
        <w:t>并承担因此所造成的一切损失。</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承诺单位（盖章）：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 xml:space="preserve">                  法定代表人或授权代表（签名或盖章）：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 xml:space="preserve">     日期：    年   月   日</w:t>
      </w:r>
    </w:p>
    <w:p>
      <w:pPr>
        <w:spacing w:line="400" w:lineRule="exact"/>
        <w:rPr>
          <w:rFonts w:cs="Times New Roman" w:asciiTheme="minorEastAsia" w:hAnsiTheme="minorEastAsia"/>
          <w:sz w:val="24"/>
          <w:szCs w:val="24"/>
        </w:rPr>
      </w:pPr>
      <w:r>
        <w:rPr>
          <w:rFonts w:cs="Times New Roman" w:asciiTheme="minorEastAsia" w:hAnsiTheme="minorEastAsia"/>
          <w:sz w:val="24"/>
          <w:szCs w:val="24"/>
        </w:rPr>
        <w:t>注：1.投标人须在投标文件中按此模板提供承诺函，未提供视为未实质性响应招标文件要求，按无效投标处理。</w:t>
      </w:r>
    </w:p>
    <w:p>
      <w:pPr>
        <w:widowControl/>
        <w:numPr>
          <w:ilvl w:val="0"/>
          <w:numId w:val="8"/>
        </w:numPr>
        <w:ind w:firstLine="480" w:firstLineChars="200"/>
        <w:jc w:val="left"/>
        <w:rPr>
          <w:rFonts w:cs="仿宋_GB2312" w:asciiTheme="minorEastAsia" w:hAnsiTheme="minorEastAsia"/>
          <w:sz w:val="24"/>
          <w:szCs w:val="24"/>
        </w:rPr>
      </w:pPr>
      <w:r>
        <w:rPr>
          <w:rFonts w:cs="Times New Roman" w:asciiTheme="minorEastAsia" w:hAnsiTheme="minorEastAsia"/>
          <w:sz w:val="24"/>
          <w:szCs w:val="24"/>
        </w:rPr>
        <w:t>投标人的法定代表人或者授权代表的签字或盖章应真实、有效</w:t>
      </w:r>
      <w:r>
        <w:rPr>
          <w:rFonts w:hint="eastAsia" w:cs="仿宋_GB2312" w:asciiTheme="minorEastAsia" w:hAnsiTheme="minorEastAsia"/>
          <w:sz w:val="24"/>
          <w:szCs w:val="24"/>
        </w:rPr>
        <w:t>。</w:t>
      </w:r>
    </w:p>
    <w:p>
      <w:pPr>
        <w:widowControl/>
        <w:numPr>
          <w:ilvl w:val="0"/>
          <w:numId w:val="8"/>
        </w:numPr>
        <w:ind w:firstLine="482" w:firstLineChars="200"/>
        <w:jc w:val="left"/>
        <w:rPr>
          <w:rFonts w:cs="Times New Roman" w:asciiTheme="minorEastAsia" w:hAnsiTheme="minorEastAsia"/>
          <w:b/>
          <w:bCs/>
          <w:sz w:val="24"/>
          <w:szCs w:val="24"/>
        </w:rPr>
      </w:pPr>
      <w:r>
        <w:rPr>
          <w:rFonts w:hint="eastAsia" w:cs="Times New Roman" w:asciiTheme="minorEastAsia" w:hAnsiTheme="minorEastAsia"/>
          <w:b/>
          <w:bCs/>
          <w:sz w:val="24"/>
          <w:szCs w:val="24"/>
        </w:rPr>
        <w:t>附投标人营业执照</w:t>
      </w:r>
    </w:p>
    <w:p>
      <w:r>
        <w:rPr>
          <w:rFonts w:hint="eastAsia"/>
        </w:rPr>
        <w:br w:type="page"/>
      </w:r>
    </w:p>
    <w:p>
      <w:pPr>
        <w:pStyle w:val="5"/>
        <w:numPr>
          <w:ilvl w:val="0"/>
          <w:numId w:val="9"/>
        </w:numPr>
        <w:spacing w:before="0" w:after="0"/>
        <w:jc w:val="center"/>
        <w:rPr>
          <w:sz w:val="24"/>
        </w:rPr>
      </w:pPr>
      <w:bookmarkStart w:id="54" w:name="_Toc143350532"/>
      <w:r>
        <w:rPr>
          <w:rFonts w:hint="eastAsia"/>
          <w:sz w:val="24"/>
        </w:rPr>
        <w:t>信用记录查询</w:t>
      </w:r>
      <w:bookmarkEnd w:id="54"/>
    </w:p>
    <w:p>
      <w:pPr>
        <w:spacing w:line="360" w:lineRule="auto"/>
        <w:ind w:firstLine="480" w:firstLineChars="200"/>
        <w:rPr>
          <w:rFonts w:asciiTheme="minorEastAsia" w:hAnsiTheme="minorEastAsia"/>
          <w:sz w:val="24"/>
        </w:rPr>
      </w:pPr>
    </w:p>
    <w:p>
      <w:pPr>
        <w:spacing w:line="360" w:lineRule="auto"/>
        <w:ind w:firstLine="480" w:firstLineChars="200"/>
        <w:rPr>
          <w:rFonts w:ascii="Times New Roman" w:hAnsi="Times New Roman" w:eastAsia="宋体"/>
          <w:sz w:val="24"/>
        </w:rPr>
      </w:pPr>
      <w:bookmarkStart w:id="55" w:name="_Hlk135046015"/>
      <w:r>
        <w:rPr>
          <w:rFonts w:hint="eastAsia" w:ascii="Times New Roman" w:hAnsi="Times New Roman" w:eastAsia="宋体"/>
          <w:sz w:val="24"/>
        </w:rPr>
        <w:t>查询渠道：</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“中国执行信息公开网”网站：查询失信被执行人；</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“信用中国”网站：查询重大税收违法失信主体；</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“中国政府采购网”网站：查询政府采购严重违法失信行为记录名单。</w:t>
      </w:r>
    </w:p>
    <w:p>
      <w:pPr>
        <w:spacing w:line="360" w:lineRule="auto"/>
        <w:ind w:firstLine="480" w:firstLineChars="200"/>
        <w:rPr>
          <w:rFonts w:ascii="Times New Roman" w:hAnsi="Times New Roman" w:eastAsia="宋体"/>
          <w:sz w:val="24"/>
        </w:rPr>
      </w:pPr>
    </w:p>
    <w:p>
      <w:pPr>
        <w:spacing w:line="360" w:lineRule="auto"/>
        <w:ind w:firstLine="480" w:firstLineChars="200"/>
        <w:rPr>
          <w:rFonts w:ascii="Times New Roman" w:hAnsi="Times New Roman" w:eastAsia="宋体"/>
          <w:sz w:val="28"/>
          <w:szCs w:val="24"/>
        </w:rPr>
      </w:pPr>
      <w:r>
        <w:rPr>
          <w:rFonts w:hint="eastAsia" w:ascii="Times New Roman" w:hAnsi="Times New Roman" w:eastAsia="宋体"/>
          <w:sz w:val="24"/>
        </w:rPr>
        <w:t>采购人或采购代理机构开标后对所有供应商信用记录进行查询，投标供应商不良信用记录以开标后查询结果为准。</w:t>
      </w:r>
    </w:p>
    <w:bookmarkEnd w:id="55"/>
    <w:p>
      <w:pPr>
        <w:widowControl/>
        <w:jc w:val="left"/>
        <w:rPr>
          <w:rFonts w:ascii="Times New Roman" w:hAnsi="Times New Roman" w:eastAsia="宋体"/>
        </w:rPr>
      </w:pPr>
      <w:r>
        <w:rPr>
          <w:rFonts w:ascii="Times New Roman" w:hAnsi="Times New Roman" w:eastAsia="宋体"/>
        </w:rPr>
        <w:br w:type="page"/>
      </w:r>
    </w:p>
    <w:p>
      <w:pPr>
        <w:pStyle w:val="5"/>
        <w:spacing w:before="0" w:after="0"/>
        <w:jc w:val="center"/>
        <w:rPr>
          <w:sz w:val="28"/>
        </w:rPr>
      </w:pPr>
      <w:bookmarkStart w:id="56" w:name="_Toc143350533"/>
      <w:r>
        <w:rPr>
          <w:rFonts w:hint="eastAsia"/>
          <w:sz w:val="28"/>
        </w:rPr>
        <w:t>四、单位负责人为同一人或者存在直接控股、管理关系的不同投标人，不得参加同一合同项下的政府采购活动声明函</w:t>
      </w:r>
      <w:bookmarkEnd w:id="56"/>
    </w:p>
    <w:p>
      <w:pPr>
        <w:spacing w:line="360" w:lineRule="auto"/>
        <w:rPr>
          <w:rFonts w:asciiTheme="minorEastAsia" w:hAnsiTheme="minorEastAsia"/>
          <w:sz w:val="24"/>
        </w:rPr>
      </w:pPr>
    </w:p>
    <w:p>
      <w:pPr>
        <w:spacing w:line="360" w:lineRule="auto"/>
        <w:ind w:firstLine="480" w:firstLineChars="200"/>
        <w:rPr>
          <w:rFonts w:asciiTheme="minorEastAsia" w:hAnsiTheme="minorEastAsia"/>
          <w:sz w:val="24"/>
        </w:rPr>
      </w:pPr>
      <w:r>
        <w:rPr>
          <w:rFonts w:hint="eastAsia" w:asciiTheme="minorEastAsia" w:hAnsiTheme="minorEastAsia"/>
          <w:sz w:val="24"/>
        </w:rPr>
        <w:t>针对是否存在“单位负责人为同一人或者存在直接控股、管理关系的不同投标人，同时参加本项目同一合同项下的政府采购活动”情形的声明函（格式自拟）；</w:t>
      </w:r>
    </w:p>
    <w:p>
      <w:r>
        <w:br w:type="page"/>
      </w:r>
    </w:p>
    <w:p>
      <w:pPr>
        <w:pStyle w:val="5"/>
        <w:spacing w:before="0" w:after="0"/>
        <w:jc w:val="center"/>
        <w:rPr>
          <w:sz w:val="28"/>
        </w:rPr>
      </w:pPr>
      <w:bookmarkStart w:id="57" w:name="_Toc143350534"/>
      <w:r>
        <w:rPr>
          <w:rFonts w:hint="eastAsia"/>
          <w:sz w:val="28"/>
        </w:rPr>
        <w:t>五、反商业贿赂承诺书</w:t>
      </w:r>
      <w:bookmarkEnd w:id="57"/>
    </w:p>
    <w:p>
      <w:pPr>
        <w:spacing w:line="600" w:lineRule="exact"/>
        <w:rPr>
          <w:rFonts w:ascii="宋体" w:hAnsi="宋体"/>
          <w:sz w:val="24"/>
        </w:rPr>
      </w:pPr>
      <w:r>
        <w:rPr>
          <w:rFonts w:hint="eastAsia" w:ascii="宋体" w:hAnsi="宋体"/>
          <w:sz w:val="24"/>
        </w:rPr>
        <w:t>我公司承诺：</w:t>
      </w:r>
    </w:p>
    <w:p>
      <w:pPr>
        <w:spacing w:line="600" w:lineRule="exact"/>
        <w:ind w:firstLine="480" w:firstLineChars="200"/>
        <w:rPr>
          <w:rFonts w:ascii="宋体" w:hAnsi="宋体"/>
          <w:sz w:val="24"/>
        </w:rPr>
      </w:pPr>
      <w:r>
        <w:rPr>
          <w:rFonts w:hint="eastAsia" w:ascii="宋体" w:hAnsi="宋体"/>
          <w:sz w:val="24"/>
        </w:rPr>
        <w:t>在本次招标活动中，我公司保证做到：</w:t>
      </w:r>
    </w:p>
    <w:p>
      <w:pPr>
        <w:spacing w:line="600" w:lineRule="exact"/>
        <w:ind w:firstLine="480" w:firstLineChars="200"/>
        <w:rPr>
          <w:rFonts w:ascii="宋体" w:hAnsi="宋体"/>
          <w:sz w:val="24"/>
        </w:rPr>
      </w:pPr>
      <w:r>
        <w:rPr>
          <w:rFonts w:hint="eastAsia" w:ascii="宋体" w:hAnsi="宋体"/>
          <w:sz w:val="24"/>
        </w:rPr>
        <w:t>一、公平竞争参加本次招标活动。</w:t>
      </w:r>
    </w:p>
    <w:p>
      <w:pPr>
        <w:spacing w:line="600" w:lineRule="exact"/>
        <w:ind w:firstLine="480" w:firstLineChars="200"/>
        <w:rPr>
          <w:rFonts w:ascii="宋体" w:hAnsi="宋体"/>
          <w:sz w:val="24"/>
        </w:rPr>
      </w:pPr>
      <w:r>
        <w:rPr>
          <w:rFonts w:hint="eastAsia" w:ascii="宋体" w:hAnsi="宋体"/>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rPr>
      </w:pPr>
      <w:r>
        <w:rPr>
          <w:rFonts w:hint="eastAsia" w:ascii="宋体" w:hAnsi="宋体"/>
          <w:sz w:val="24"/>
        </w:rPr>
        <w:t>三、若出现上述行为，我公司及参与招标的工作人员愿意接受按照国家法律法规等有关规定给予的处罚。</w:t>
      </w:r>
    </w:p>
    <w:p>
      <w:pPr>
        <w:spacing w:line="600" w:lineRule="exact"/>
        <w:rPr>
          <w:rFonts w:ascii="宋体" w:hAnsi="宋体"/>
          <w:sz w:val="24"/>
        </w:rPr>
      </w:pPr>
    </w:p>
    <w:p>
      <w:pPr>
        <w:spacing w:line="600" w:lineRule="exact"/>
        <w:rPr>
          <w:rFonts w:ascii="宋体" w:hAnsi="宋体"/>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rPr>
        <w:t xml:space="preserve">法定代表人或授权代表（个人电子签章或签字）：   </w:t>
      </w:r>
    </w:p>
    <w:p>
      <w:pPr>
        <w:spacing w:line="360" w:lineRule="auto"/>
        <w:rPr>
          <w:rFonts w:asciiTheme="minorEastAsia" w:hAnsiTheme="minorEastAsia"/>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rPr>
        <w:t>投标人名称（企业电子签章或公章）：</w:t>
      </w:r>
    </w:p>
    <w:p>
      <w:pPr>
        <w:spacing w:line="360" w:lineRule="auto"/>
        <w:rPr>
          <w:rFonts w:asciiTheme="minorEastAsia" w:hAnsiTheme="minorEastAsia"/>
          <w:sz w:val="24"/>
        </w:rPr>
      </w:pPr>
    </w:p>
    <w:p>
      <w:pPr>
        <w:spacing w:line="360" w:lineRule="auto"/>
        <w:ind w:firstLine="2640" w:firstLineChars="1100"/>
        <w:rPr>
          <w:rFonts w:asciiTheme="minorEastAsia" w:hAnsiTheme="minorEastAsia"/>
          <w:sz w:val="24"/>
        </w:rPr>
      </w:pPr>
      <w:r>
        <w:rPr>
          <w:rFonts w:hint="eastAsia" w:asciiTheme="minorEastAsia" w:hAnsiTheme="minorEastAsia"/>
          <w:sz w:val="24"/>
        </w:rPr>
        <w:t>日期：</w:t>
      </w: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pStyle w:val="23"/>
        <w:rPr>
          <w:sz w:val="28"/>
        </w:rPr>
      </w:pPr>
      <w:bookmarkStart w:id="58" w:name="_Toc143350535"/>
      <w:r>
        <w:rPr>
          <w:rFonts w:hint="eastAsia"/>
          <w:sz w:val="28"/>
        </w:rPr>
        <w:t>第二部分商务、技术文件</w:t>
      </w:r>
      <w:bookmarkEnd w:id="58"/>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4"/>
        </w:rPr>
      </w:pPr>
      <w:bookmarkStart w:id="59" w:name="_Toc143350536"/>
      <w:r>
        <w:rPr>
          <w:rFonts w:hint="eastAsia"/>
          <w:sz w:val="24"/>
        </w:rPr>
        <w:t>一、投标函</w:t>
      </w:r>
      <w:bookmarkEnd w:id="59"/>
    </w:p>
    <w:p>
      <w:pPr>
        <w:spacing w:line="360" w:lineRule="auto"/>
        <w:rPr>
          <w:rFonts w:asciiTheme="minorEastAsia" w:hAnsiTheme="minorEastAsia"/>
          <w:sz w:val="24"/>
        </w:rPr>
      </w:pPr>
      <w:r>
        <w:rPr>
          <w:rFonts w:hint="eastAsia" w:asciiTheme="minorEastAsia" w:hAnsiTheme="minorEastAsia"/>
          <w:sz w:val="24"/>
        </w:rPr>
        <w:t>致：</w:t>
      </w:r>
      <w:r>
        <w:rPr>
          <w:rFonts w:hint="eastAsia" w:asciiTheme="minorEastAsia" w:hAnsiTheme="minorEastAsia"/>
          <w:sz w:val="24"/>
          <w:u w:val="single"/>
        </w:rPr>
        <w:t>（采购人或采购代理机构名称）</w:t>
      </w:r>
    </w:p>
    <w:p>
      <w:pPr>
        <w:spacing w:line="360" w:lineRule="auto"/>
        <w:ind w:firstLine="480" w:firstLineChars="200"/>
        <w:rPr>
          <w:rFonts w:asciiTheme="minorEastAsia" w:hAnsiTheme="minorEastAsia"/>
          <w:sz w:val="24"/>
        </w:rPr>
      </w:pPr>
      <w:r>
        <w:rPr>
          <w:rFonts w:hint="eastAsia" w:asciiTheme="minorEastAsia" w:hAnsiTheme="minorEastAsia"/>
          <w:sz w:val="24"/>
        </w:rPr>
        <w:t>1.</w:t>
      </w:r>
      <w:r>
        <w:rPr>
          <w:rFonts w:hint="eastAsia" w:asciiTheme="minorEastAsia" w:hAnsiTheme="minorEastAsia"/>
          <w:sz w:val="24"/>
        </w:rPr>
        <w:tab/>
      </w:r>
      <w:r>
        <w:rPr>
          <w:rFonts w:hint="eastAsia" w:asciiTheme="minorEastAsia" w:hAnsiTheme="minorEastAsia"/>
          <w:sz w:val="24"/>
        </w:rPr>
        <w:t>我方已仔细研究了</w:t>
      </w:r>
      <w:r>
        <w:rPr>
          <w:rFonts w:hint="eastAsia"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u w:val="single"/>
        </w:rPr>
        <w:tab/>
      </w:r>
      <w:r>
        <w:rPr>
          <w:rFonts w:asciiTheme="minorEastAsia" w:hAnsiTheme="minorEastAsia"/>
          <w:sz w:val="24"/>
          <w:u w:val="single"/>
        </w:rPr>
        <w:t xml:space="preserve">    </w:t>
      </w:r>
      <w:r>
        <w:rPr>
          <w:rFonts w:hint="eastAsia" w:asciiTheme="minorEastAsia" w:hAnsiTheme="minorEastAsia"/>
          <w:sz w:val="24"/>
          <w:u w:val="single"/>
        </w:rPr>
        <w:t xml:space="preserve">（项目名称） </w:t>
      </w:r>
      <w:r>
        <w:rPr>
          <w:rFonts w:asciiTheme="minorEastAsia" w:hAnsiTheme="minorEastAsia"/>
          <w:sz w:val="24"/>
          <w:u w:val="single"/>
        </w:rPr>
        <w:t xml:space="preserve">  </w:t>
      </w:r>
      <w:r>
        <w:rPr>
          <w:rFonts w:hint="eastAsia" w:asciiTheme="minorEastAsia" w:hAnsiTheme="minorEastAsia"/>
          <w:sz w:val="24"/>
        </w:rPr>
        <w:t>项目招标文件的全部内容，愿意以人民币（大写）</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）的投标总报价，交货期：</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，按合同约定完成全部工作。</w:t>
      </w:r>
    </w:p>
    <w:p>
      <w:pPr>
        <w:spacing w:line="360" w:lineRule="auto"/>
        <w:ind w:firstLine="480" w:firstLineChars="200"/>
        <w:rPr>
          <w:rFonts w:asciiTheme="minorEastAsia" w:hAnsiTheme="minorEastAsia"/>
          <w:sz w:val="24"/>
        </w:rPr>
      </w:pPr>
      <w:r>
        <w:rPr>
          <w:rFonts w:hint="eastAsia" w:asciiTheme="minorEastAsia" w:hAnsiTheme="minorEastAsia"/>
          <w:sz w:val="24"/>
        </w:rPr>
        <w:t>2.</w:t>
      </w:r>
      <w:r>
        <w:rPr>
          <w:rFonts w:hint="eastAsia" w:asciiTheme="minorEastAsia" w:hAnsiTheme="minorEastAsia"/>
          <w:sz w:val="24"/>
        </w:rPr>
        <w:tab/>
      </w:r>
      <w:r>
        <w:rPr>
          <w:rFonts w:hint="eastAsia" w:asciiTheme="minorEastAsia" w:hAnsiTheme="minorEastAsia"/>
          <w:sz w:val="24"/>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rPr>
      </w:pPr>
      <w:r>
        <w:rPr>
          <w:rFonts w:hint="eastAsia" w:asciiTheme="minorEastAsia" w:hAnsiTheme="minorEastAsia"/>
          <w:sz w:val="24"/>
        </w:rPr>
        <w:t>3.</w:t>
      </w:r>
      <w:r>
        <w:rPr>
          <w:rFonts w:hint="eastAsia" w:asciiTheme="minorEastAsia" w:hAnsiTheme="minorEastAsia"/>
          <w:sz w:val="24"/>
        </w:rPr>
        <w:tab/>
      </w:r>
      <w:r>
        <w:rPr>
          <w:rFonts w:hint="eastAsia" w:asciiTheme="minorEastAsia" w:hAnsiTheme="minorEastAsia"/>
          <w:sz w:val="24"/>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rPr>
      </w:pPr>
      <w:r>
        <w:rPr>
          <w:rFonts w:hint="eastAsia" w:asciiTheme="minorEastAsia" w:hAnsiTheme="minorEastAsia"/>
          <w:sz w:val="24"/>
        </w:rPr>
        <w:t>4.</w:t>
      </w:r>
      <w:r>
        <w:rPr>
          <w:rFonts w:hint="eastAsia" w:asciiTheme="minorEastAsia" w:hAnsiTheme="minorEastAsia"/>
          <w:sz w:val="24"/>
        </w:rPr>
        <w:tab/>
      </w:r>
      <w:r>
        <w:rPr>
          <w:rFonts w:hint="eastAsia" w:asciiTheme="minorEastAsia" w:hAnsiTheme="minorEastAsia"/>
          <w:sz w:val="24"/>
        </w:rPr>
        <w:t>投标有效期为提交投标文件的截止之日起 60 日历天。</w:t>
      </w:r>
    </w:p>
    <w:p>
      <w:pPr>
        <w:spacing w:line="360" w:lineRule="auto"/>
        <w:ind w:firstLine="480" w:firstLineChars="200"/>
        <w:rPr>
          <w:rFonts w:asciiTheme="minorEastAsia" w:hAnsiTheme="minorEastAsia"/>
          <w:sz w:val="24"/>
        </w:rPr>
      </w:pPr>
      <w:r>
        <w:rPr>
          <w:rFonts w:hint="eastAsia" w:asciiTheme="minorEastAsia" w:hAnsiTheme="minorEastAsia"/>
          <w:sz w:val="24"/>
        </w:rPr>
        <w:t>5.</w:t>
      </w:r>
      <w:r>
        <w:rPr>
          <w:rFonts w:hint="eastAsia" w:asciiTheme="minorEastAsia" w:hAnsiTheme="minorEastAsia"/>
          <w:sz w:val="24"/>
        </w:rPr>
        <w:tab/>
      </w:r>
      <w:r>
        <w:rPr>
          <w:rFonts w:hint="eastAsia" w:asciiTheme="minorEastAsia" w:hAnsiTheme="minorEastAsia"/>
          <w:sz w:val="24"/>
        </w:rPr>
        <w:t>如果在规定的开标时间后，我方承诺在投标有效期内不撤回投标。</w:t>
      </w:r>
    </w:p>
    <w:p>
      <w:pPr>
        <w:spacing w:line="360" w:lineRule="auto"/>
        <w:ind w:firstLine="480" w:firstLineChars="200"/>
        <w:rPr>
          <w:rFonts w:asciiTheme="minorEastAsia" w:hAnsiTheme="minorEastAsia"/>
          <w:sz w:val="24"/>
        </w:rPr>
      </w:pPr>
      <w:r>
        <w:rPr>
          <w:rFonts w:hint="eastAsia" w:asciiTheme="minorEastAsia" w:hAnsiTheme="minorEastAsia"/>
          <w:sz w:val="24"/>
        </w:rPr>
        <w:t>6.</w:t>
      </w:r>
      <w:r>
        <w:rPr>
          <w:rFonts w:hint="eastAsia" w:asciiTheme="minorEastAsia" w:hAnsiTheme="minorEastAsia"/>
          <w:sz w:val="24"/>
        </w:rPr>
        <w:tab/>
      </w:r>
      <w:r>
        <w:rPr>
          <w:rFonts w:hint="eastAsia" w:asciiTheme="minorEastAsia" w:hAnsiTheme="minorEastAsia"/>
          <w:sz w:val="24"/>
        </w:rPr>
        <w:t>我方在此声明，所递交的投标文件及有关资料内容完整、真实和准确。</w:t>
      </w:r>
    </w:p>
    <w:p>
      <w:pPr>
        <w:spacing w:line="360" w:lineRule="auto"/>
        <w:ind w:firstLine="480" w:firstLineChars="200"/>
        <w:rPr>
          <w:rFonts w:asciiTheme="minorEastAsia" w:hAnsiTheme="minorEastAsia"/>
          <w:sz w:val="24"/>
        </w:rPr>
      </w:pPr>
      <w:r>
        <w:rPr>
          <w:rFonts w:hint="eastAsia" w:asciiTheme="minorEastAsia" w:hAnsiTheme="minorEastAsia"/>
          <w:sz w:val="24"/>
        </w:rPr>
        <w:t>7.</w:t>
      </w:r>
      <w:r>
        <w:rPr>
          <w:rFonts w:hint="eastAsia" w:asciiTheme="minorEastAsia" w:hAnsiTheme="minorEastAsia"/>
          <w:sz w:val="24"/>
        </w:rPr>
        <w:tab/>
      </w:r>
      <w:r>
        <w:rPr>
          <w:rFonts w:hint="eastAsia" w:asciiTheme="minorEastAsia" w:hAnsiTheme="minorEastAsia"/>
          <w:sz w:val="24"/>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rPr>
      </w:pPr>
      <w:r>
        <w:rPr>
          <w:rFonts w:hint="eastAsia" w:asciiTheme="minorEastAsia" w:hAnsiTheme="minorEastAsia"/>
          <w:sz w:val="24"/>
        </w:rPr>
        <w:t>8.</w:t>
      </w:r>
      <w:r>
        <w:rPr>
          <w:rFonts w:hint="eastAsia" w:asciiTheme="minorEastAsia" w:hAnsiTheme="minorEastAsia"/>
          <w:sz w:val="24"/>
        </w:rPr>
        <w:tab/>
      </w:r>
      <w:r>
        <w:rPr>
          <w:rFonts w:hint="eastAsia" w:asciiTheme="minorEastAsia" w:hAnsiTheme="minorEastAsia"/>
          <w:sz w:val="24"/>
        </w:rPr>
        <w:t>我方承诺完全响应采购需求中的内容。</w:t>
      </w:r>
    </w:p>
    <w:p>
      <w:pPr>
        <w:spacing w:line="360" w:lineRule="auto"/>
        <w:rPr>
          <w:rFonts w:asciiTheme="minorEastAsia" w:hAnsiTheme="minorEastAsia"/>
          <w:sz w:val="24"/>
        </w:rPr>
      </w:pPr>
    </w:p>
    <w:p>
      <w:pPr>
        <w:spacing w:line="360" w:lineRule="auto"/>
        <w:rPr>
          <w:rFonts w:asciiTheme="minorEastAsia" w:hAnsiTheme="minorEastAsia"/>
          <w:sz w:val="24"/>
        </w:rPr>
      </w:pPr>
      <w:r>
        <w:rPr>
          <w:rFonts w:hint="eastAsia" w:asciiTheme="minorEastAsia" w:hAnsiTheme="minorEastAsia"/>
          <w:sz w:val="24"/>
        </w:rPr>
        <w:t xml:space="preserve">法定代表人或授权代表（个人电子签章或签字）：   </w:t>
      </w:r>
    </w:p>
    <w:p>
      <w:pPr>
        <w:spacing w:line="360" w:lineRule="auto"/>
        <w:rPr>
          <w:rFonts w:asciiTheme="minorEastAsia" w:hAnsiTheme="minorEastAsia"/>
          <w:sz w:val="24"/>
        </w:rPr>
      </w:pPr>
      <w:r>
        <w:rPr>
          <w:rFonts w:hint="eastAsia" w:asciiTheme="minorEastAsia" w:hAnsiTheme="minorEastAsia"/>
          <w:sz w:val="24"/>
        </w:rPr>
        <w:t>投标人名称（企业电子签章或公章）：</w:t>
      </w:r>
    </w:p>
    <w:p>
      <w:pPr>
        <w:spacing w:line="360" w:lineRule="auto"/>
        <w:rPr>
          <w:rFonts w:asciiTheme="minorEastAsia" w:hAnsiTheme="minorEastAsia"/>
          <w:sz w:val="24"/>
        </w:rPr>
      </w:pPr>
      <w:r>
        <w:rPr>
          <w:rFonts w:hint="eastAsia" w:asciiTheme="minorEastAsia" w:hAnsiTheme="minorEastAsia"/>
          <w:sz w:val="24"/>
        </w:rPr>
        <w:t>日期：</w:t>
      </w: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60" w:name="_Toc143350537"/>
      <w:r>
        <w:rPr>
          <w:rFonts w:hint="eastAsia"/>
          <w:sz w:val="28"/>
        </w:rPr>
        <w:t>二、投标报价表格</w:t>
      </w:r>
      <w:bookmarkEnd w:id="60"/>
    </w:p>
    <w:p>
      <w:pPr>
        <w:pStyle w:val="6"/>
        <w:spacing w:before="0" w:after="0"/>
        <w:jc w:val="center"/>
        <w:rPr>
          <w:sz w:val="24"/>
        </w:rPr>
      </w:pPr>
      <w:bookmarkStart w:id="61" w:name="_Toc30860"/>
      <w:r>
        <w:rPr>
          <w:rFonts w:hint="eastAsia"/>
          <w:sz w:val="24"/>
        </w:rPr>
        <w:t>1．开标一览表</w:t>
      </w:r>
    </w:p>
    <w:bookmarkEnd w:id="61"/>
    <w:p>
      <w:pPr>
        <w:jc w:val="right"/>
        <w:rPr>
          <w:rFonts w:asciiTheme="minorEastAsia" w:hAnsiTheme="minorEastAsia"/>
        </w:rPr>
      </w:pPr>
      <w:r>
        <w:rPr>
          <w:rFonts w:hint="eastAsia" w:asciiTheme="minorEastAsia" w:hAnsiTheme="minorEastAsia"/>
        </w:rPr>
        <w:t>金额单位：元</w:t>
      </w:r>
    </w:p>
    <w:tbl>
      <w:tblPr>
        <w:tblStyle w:val="3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投标人名称</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rPr>
            </w:pPr>
            <w:r>
              <w:rPr>
                <w:rFonts w:hint="eastAsia" w:asciiTheme="minorEastAsia" w:hAnsiTheme="minorEastAsia"/>
                <w:b/>
                <w:bCs/>
                <w:sz w:val="24"/>
                <w:szCs w:val="28"/>
              </w:rPr>
              <w:t>投标报价</w:t>
            </w: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rPr>
            </w:pP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交货期</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质保期</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质量要求</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投标有效期</w:t>
            </w:r>
          </w:p>
        </w:tc>
        <w:tc>
          <w:tcPr>
            <w:tcW w:w="6253" w:type="dxa"/>
            <w:vAlign w:val="center"/>
          </w:tcPr>
          <w:p>
            <w:pPr>
              <w:rPr>
                <w:rFonts w:asciiTheme="minorEastAsia" w:hAnsiTheme="minorEastAsia"/>
                <w:b/>
                <w:bCs/>
                <w:sz w:val="24"/>
                <w:szCs w:val="28"/>
              </w:rPr>
            </w:pPr>
            <w:r>
              <w:rPr>
                <w:rFonts w:hint="eastAsia" w:asciiTheme="minorEastAsia" w:hAnsiTheme="minorEastAsia"/>
                <w:kern w:val="0"/>
                <w:szCs w:val="21"/>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其他声明</w:t>
            </w:r>
          </w:p>
        </w:tc>
        <w:tc>
          <w:tcPr>
            <w:tcW w:w="6253" w:type="dxa"/>
            <w:vAlign w:val="center"/>
          </w:tcPr>
          <w:p>
            <w:pPr>
              <w:rPr>
                <w:rFonts w:asciiTheme="minorEastAsia" w:hAnsiTheme="minorEastAsia"/>
                <w:b/>
                <w:bCs/>
                <w:sz w:val="24"/>
                <w:szCs w:val="28"/>
              </w:rPr>
            </w:pPr>
          </w:p>
        </w:tc>
      </w:tr>
    </w:tbl>
    <w:p>
      <w:pPr>
        <w:rPr>
          <w:rFonts w:asciiTheme="minorEastAsia" w:hAnsiTheme="minorEastAsia"/>
        </w:rPr>
      </w:pPr>
    </w:p>
    <w:p>
      <w:pPr>
        <w:widowControl/>
        <w:jc w:val="left"/>
        <w:rPr>
          <w:rFonts w:asciiTheme="minorEastAsia" w:hAnsiTheme="minorEastAsia"/>
        </w:rPr>
      </w:pPr>
    </w:p>
    <w:p>
      <w:pPr>
        <w:widowControl/>
        <w:spacing w:line="360" w:lineRule="auto"/>
        <w:jc w:val="left"/>
        <w:rPr>
          <w:rFonts w:asciiTheme="minorEastAsia" w:hAnsiTheme="minorEastAsia"/>
          <w:sz w:val="24"/>
        </w:rPr>
      </w:pPr>
      <w:r>
        <w:rPr>
          <w:rFonts w:hint="eastAsia" w:asciiTheme="minorEastAsia" w:hAnsiTheme="minorEastAsia"/>
          <w:sz w:val="24"/>
        </w:rPr>
        <w:t xml:space="preserve">法定代表人或授权代表（个人电子签章或签字）：   </w:t>
      </w:r>
    </w:p>
    <w:p>
      <w:pPr>
        <w:widowControl/>
        <w:spacing w:line="360" w:lineRule="auto"/>
        <w:jc w:val="left"/>
        <w:rPr>
          <w:rFonts w:asciiTheme="minorEastAsia" w:hAnsiTheme="minorEastAsia"/>
          <w:sz w:val="24"/>
        </w:rPr>
      </w:pPr>
      <w:r>
        <w:rPr>
          <w:rFonts w:hint="eastAsia" w:asciiTheme="minorEastAsia" w:hAnsiTheme="minorEastAsia"/>
          <w:sz w:val="24"/>
        </w:rPr>
        <w:t>投标人名称（企业电子签章或公章）：</w:t>
      </w:r>
    </w:p>
    <w:p>
      <w:pPr>
        <w:widowControl/>
        <w:spacing w:line="360" w:lineRule="auto"/>
        <w:jc w:val="left"/>
        <w:rPr>
          <w:rFonts w:asciiTheme="minorEastAsia" w:hAnsiTheme="minorEastAsia"/>
          <w:sz w:val="24"/>
        </w:rPr>
      </w:pPr>
      <w:r>
        <w:rPr>
          <w:rFonts w:hint="eastAsia" w:asciiTheme="minorEastAsia" w:hAnsiTheme="minorEastAsia"/>
          <w:sz w:val="24"/>
        </w:rPr>
        <w:t>日期：</w:t>
      </w:r>
    </w:p>
    <w:p>
      <w:pPr>
        <w:widowControl/>
        <w:spacing w:line="360" w:lineRule="auto"/>
        <w:jc w:val="center"/>
      </w:pPr>
      <w:r>
        <w:br w:type="page"/>
      </w:r>
      <w:bookmarkStart w:id="62" w:name="_Toc9150"/>
      <w:r>
        <w:rPr>
          <w:rFonts w:hint="eastAsia"/>
          <w:b/>
          <w:bCs/>
          <w:sz w:val="24"/>
          <w:szCs w:val="28"/>
        </w:rPr>
        <w:t>2．投标报价明细表</w:t>
      </w:r>
      <w:bookmarkEnd w:id="62"/>
    </w:p>
    <w:p>
      <w:pPr>
        <w:spacing w:line="360" w:lineRule="auto"/>
        <w:jc w:val="right"/>
        <w:rPr>
          <w:b/>
          <w:szCs w:val="21"/>
        </w:rPr>
      </w:pPr>
      <w:r>
        <w:rPr>
          <w:rFonts w:hint="eastAsia" w:asciiTheme="minorEastAsia" w:hAnsiTheme="minorEastAsia"/>
          <w:sz w:val="24"/>
          <w:szCs w:val="24"/>
        </w:rPr>
        <w:t>金额单位：元</w:t>
      </w:r>
    </w:p>
    <w:tbl>
      <w:tblPr>
        <w:tblStyle w:val="31"/>
        <w:tblW w:w="93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45"/>
        <w:gridCol w:w="1161"/>
        <w:gridCol w:w="1590"/>
        <w:gridCol w:w="1073"/>
        <w:gridCol w:w="1192"/>
        <w:gridCol w:w="743"/>
        <w:gridCol w:w="865"/>
        <w:gridCol w:w="865"/>
        <w:gridCol w:w="103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58" w:hRule="atLeast"/>
          <w:jc w:val="center"/>
        </w:trPr>
        <w:tc>
          <w:tcPr>
            <w:tcW w:w="720" w:type="dxa"/>
            <w:vAlign w:val="center"/>
          </w:tcPr>
          <w:p>
            <w:pPr>
              <w:spacing w:line="360" w:lineRule="auto"/>
              <w:jc w:val="center"/>
              <w:rPr>
                <w:rFonts w:ascii="等线" w:hAnsi="等线"/>
                <w:sz w:val="24"/>
              </w:rPr>
            </w:pPr>
            <w:r>
              <w:rPr>
                <w:rFonts w:hint="eastAsia" w:ascii="等线" w:hAnsi="等线"/>
                <w:sz w:val="24"/>
              </w:rPr>
              <w:t>序号</w:t>
            </w:r>
          </w:p>
        </w:tc>
        <w:tc>
          <w:tcPr>
            <w:tcW w:w="1306" w:type="dxa"/>
            <w:gridSpan w:val="2"/>
            <w:vAlign w:val="center"/>
          </w:tcPr>
          <w:p>
            <w:pPr>
              <w:spacing w:line="360" w:lineRule="auto"/>
              <w:jc w:val="center"/>
              <w:rPr>
                <w:rFonts w:ascii="等线" w:hAnsi="等线"/>
                <w:sz w:val="24"/>
              </w:rPr>
            </w:pPr>
            <w:r>
              <w:rPr>
                <w:rFonts w:hint="eastAsia" w:ascii="等线" w:hAnsi="等线"/>
                <w:sz w:val="24"/>
              </w:rPr>
              <w:t>货物名称</w:t>
            </w:r>
          </w:p>
        </w:tc>
        <w:tc>
          <w:tcPr>
            <w:tcW w:w="1590" w:type="dxa"/>
            <w:vAlign w:val="center"/>
          </w:tcPr>
          <w:p>
            <w:pPr>
              <w:spacing w:line="360" w:lineRule="auto"/>
              <w:jc w:val="center"/>
              <w:rPr>
                <w:rFonts w:ascii="等线" w:hAnsi="等线"/>
                <w:sz w:val="24"/>
              </w:rPr>
            </w:pPr>
            <w:r>
              <w:rPr>
                <w:rFonts w:hint="eastAsia" w:ascii="等线" w:hAnsi="等线"/>
                <w:sz w:val="24"/>
              </w:rPr>
              <w:t>规格、型号、品牌</w:t>
            </w:r>
          </w:p>
        </w:tc>
        <w:tc>
          <w:tcPr>
            <w:tcW w:w="1073" w:type="dxa"/>
            <w:vAlign w:val="center"/>
          </w:tcPr>
          <w:p>
            <w:pPr>
              <w:spacing w:line="360" w:lineRule="auto"/>
              <w:jc w:val="center"/>
              <w:rPr>
                <w:rFonts w:ascii="等线" w:hAnsi="等线"/>
                <w:sz w:val="24"/>
              </w:rPr>
            </w:pPr>
            <w:r>
              <w:rPr>
                <w:rFonts w:hint="eastAsia" w:ascii="等线" w:hAnsi="等线"/>
                <w:sz w:val="24"/>
              </w:rPr>
              <w:t>产地</w:t>
            </w:r>
          </w:p>
        </w:tc>
        <w:tc>
          <w:tcPr>
            <w:tcW w:w="1192" w:type="dxa"/>
            <w:vAlign w:val="center"/>
          </w:tcPr>
          <w:p>
            <w:pPr>
              <w:spacing w:line="360" w:lineRule="auto"/>
              <w:jc w:val="center"/>
              <w:rPr>
                <w:rFonts w:ascii="等线" w:hAnsi="等线"/>
                <w:sz w:val="24"/>
              </w:rPr>
            </w:pPr>
            <w:r>
              <w:rPr>
                <w:rFonts w:hint="eastAsia" w:ascii="等线" w:hAnsi="等线"/>
                <w:sz w:val="24"/>
              </w:rPr>
              <w:t>制造商</w:t>
            </w:r>
          </w:p>
          <w:p>
            <w:pPr>
              <w:spacing w:line="360" w:lineRule="auto"/>
              <w:jc w:val="center"/>
              <w:rPr>
                <w:rFonts w:ascii="等线" w:hAnsi="等线"/>
                <w:sz w:val="24"/>
              </w:rPr>
            </w:pPr>
            <w:r>
              <w:rPr>
                <w:rFonts w:hint="eastAsia" w:ascii="等线" w:hAnsi="等线"/>
                <w:sz w:val="24"/>
              </w:rPr>
              <w:t>名称</w:t>
            </w:r>
          </w:p>
        </w:tc>
        <w:tc>
          <w:tcPr>
            <w:tcW w:w="743" w:type="dxa"/>
            <w:vAlign w:val="center"/>
          </w:tcPr>
          <w:p>
            <w:pPr>
              <w:spacing w:line="360" w:lineRule="auto"/>
              <w:jc w:val="center"/>
              <w:rPr>
                <w:rFonts w:ascii="等线" w:hAnsi="等线"/>
                <w:sz w:val="24"/>
              </w:rPr>
            </w:pPr>
            <w:r>
              <w:rPr>
                <w:rFonts w:hint="eastAsia" w:ascii="等线" w:hAnsi="等线"/>
                <w:sz w:val="24"/>
              </w:rPr>
              <w:t>数量</w:t>
            </w:r>
          </w:p>
        </w:tc>
        <w:tc>
          <w:tcPr>
            <w:tcW w:w="865" w:type="dxa"/>
            <w:vAlign w:val="center"/>
          </w:tcPr>
          <w:p>
            <w:pPr>
              <w:spacing w:line="360" w:lineRule="auto"/>
              <w:jc w:val="center"/>
              <w:rPr>
                <w:rFonts w:ascii="等线" w:hAnsi="等线"/>
                <w:sz w:val="24"/>
              </w:rPr>
            </w:pPr>
            <w:r>
              <w:rPr>
                <w:rFonts w:hint="eastAsia" w:ascii="等线" w:hAnsi="等线"/>
                <w:sz w:val="24"/>
              </w:rPr>
              <w:t>单位</w:t>
            </w:r>
          </w:p>
        </w:tc>
        <w:tc>
          <w:tcPr>
            <w:tcW w:w="865" w:type="dxa"/>
            <w:vAlign w:val="center"/>
          </w:tcPr>
          <w:p>
            <w:pPr>
              <w:spacing w:line="360" w:lineRule="auto"/>
              <w:jc w:val="center"/>
              <w:rPr>
                <w:rFonts w:ascii="等线" w:hAnsi="等线"/>
                <w:sz w:val="24"/>
              </w:rPr>
            </w:pPr>
            <w:r>
              <w:rPr>
                <w:rFonts w:hint="eastAsia" w:ascii="等线" w:hAnsi="等线"/>
                <w:sz w:val="24"/>
              </w:rPr>
              <w:t>单价</w:t>
            </w:r>
          </w:p>
        </w:tc>
        <w:tc>
          <w:tcPr>
            <w:tcW w:w="1033" w:type="dxa"/>
            <w:vAlign w:val="center"/>
          </w:tcPr>
          <w:p>
            <w:pPr>
              <w:spacing w:line="360" w:lineRule="auto"/>
              <w:jc w:val="center"/>
              <w:rPr>
                <w:rFonts w:ascii="等线" w:hAnsi="等线"/>
                <w:sz w:val="24"/>
              </w:rPr>
            </w:pPr>
            <w:r>
              <w:rPr>
                <w:rFonts w:hint="eastAsia" w:ascii="等线" w:hAnsi="等线"/>
                <w:sz w:val="24"/>
              </w:rPr>
              <w:t>总价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5"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5"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2"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77" w:hRule="atLeast"/>
          <w:jc w:val="center"/>
        </w:trPr>
        <w:tc>
          <w:tcPr>
            <w:tcW w:w="865" w:type="dxa"/>
            <w:gridSpan w:val="2"/>
            <w:vAlign w:val="center"/>
          </w:tcPr>
          <w:p>
            <w:pPr>
              <w:spacing w:line="360" w:lineRule="auto"/>
              <w:rPr>
                <w:rFonts w:ascii="等线" w:hAnsi="等线"/>
                <w:sz w:val="24"/>
              </w:rPr>
            </w:pPr>
          </w:p>
        </w:tc>
        <w:tc>
          <w:tcPr>
            <w:tcW w:w="8522" w:type="dxa"/>
            <w:gridSpan w:val="8"/>
            <w:vAlign w:val="center"/>
          </w:tcPr>
          <w:p>
            <w:pPr>
              <w:spacing w:line="360" w:lineRule="auto"/>
              <w:rPr>
                <w:rFonts w:ascii="等线" w:hAnsi="等线"/>
                <w:sz w:val="24"/>
              </w:rPr>
            </w:pPr>
            <w:r>
              <w:rPr>
                <w:rFonts w:hint="eastAsia" w:ascii="等线" w:hAnsi="等线"/>
                <w:sz w:val="24"/>
              </w:rPr>
              <w:t xml:space="preserve">总报价（大写）：                                                </w:t>
            </w:r>
          </w:p>
          <w:p>
            <w:pPr>
              <w:spacing w:line="360" w:lineRule="auto"/>
              <w:rPr>
                <w:rFonts w:ascii="等线" w:hAnsi="等线"/>
                <w:sz w:val="24"/>
              </w:rPr>
            </w:pPr>
            <w:r>
              <w:rPr>
                <w:rFonts w:hint="eastAsia" w:ascii="等线" w:hAnsi="等线"/>
                <w:sz w:val="24"/>
              </w:rPr>
              <w:t xml:space="preserve">      （小写）：                                                </w:t>
            </w:r>
          </w:p>
        </w:tc>
      </w:tr>
    </w:tbl>
    <w:p>
      <w:pPr>
        <w:spacing w:line="360" w:lineRule="auto"/>
        <w:rPr>
          <w:rFonts w:asciiTheme="minorEastAsia" w:hAnsiTheme="minorEastAsia"/>
          <w:sz w:val="24"/>
          <w:szCs w:val="24"/>
        </w:rPr>
      </w:pPr>
    </w:p>
    <w:p>
      <w:pPr>
        <w:spacing w:line="360" w:lineRule="auto"/>
        <w:rPr>
          <w:rFonts w:asciiTheme="minorEastAsia" w:hAnsiTheme="minorEastAsia"/>
          <w:sz w:val="24"/>
          <w:szCs w:val="24"/>
        </w:rPr>
      </w:pPr>
      <w:r>
        <w:rPr>
          <w:rFonts w:hint="eastAsia" w:asciiTheme="minorEastAsia" w:hAnsiTheme="minorEastAsia"/>
          <w:sz w:val="24"/>
          <w:szCs w:val="24"/>
        </w:rPr>
        <w:t>法定代表人或授权代表（</w:t>
      </w:r>
      <w:r>
        <w:rPr>
          <w:rFonts w:hint="eastAsia" w:asciiTheme="minorEastAsia" w:hAnsiTheme="minorEastAsia"/>
          <w:sz w:val="24"/>
        </w:rPr>
        <w:t>个人电子签章或签字</w:t>
      </w:r>
      <w:r>
        <w:rPr>
          <w:rFonts w:hint="eastAsia" w:asciiTheme="minorEastAsia" w:hAnsiTheme="minorEastAsia"/>
          <w:sz w:val="24"/>
          <w:szCs w:val="24"/>
        </w:rPr>
        <w:t xml:space="preserve">）：   </w:t>
      </w:r>
    </w:p>
    <w:p>
      <w:pPr>
        <w:spacing w:line="360" w:lineRule="auto"/>
        <w:rPr>
          <w:rFonts w:asciiTheme="minorEastAsia" w:hAnsiTheme="minorEastAsia"/>
          <w:sz w:val="24"/>
          <w:szCs w:val="24"/>
        </w:rPr>
      </w:pPr>
      <w:r>
        <w:rPr>
          <w:rFonts w:hint="eastAsia" w:asciiTheme="minorEastAsia" w:hAnsiTheme="minorEastAsia"/>
          <w:sz w:val="24"/>
          <w:szCs w:val="24"/>
        </w:rPr>
        <w:t>投标人名称（企业电子签章或公章）：</w:t>
      </w:r>
    </w:p>
    <w:p>
      <w:pPr>
        <w:spacing w:line="360" w:lineRule="auto"/>
        <w:rPr>
          <w:rFonts w:asciiTheme="minorEastAsia" w:hAnsiTheme="minorEastAsia"/>
          <w:sz w:val="24"/>
          <w:szCs w:val="24"/>
        </w:rPr>
      </w:pPr>
      <w:r>
        <w:rPr>
          <w:rFonts w:hint="eastAsia" w:asciiTheme="minorEastAsia" w:hAnsiTheme="minorEastAsia"/>
          <w:sz w:val="24"/>
          <w:szCs w:val="24"/>
        </w:rPr>
        <w:t>日期：</w:t>
      </w:r>
    </w:p>
    <w:p>
      <w:pPr>
        <w:rPr>
          <w:sz w:val="28"/>
        </w:rPr>
      </w:pPr>
      <w:r>
        <w:rPr>
          <w:rFonts w:hint="eastAsia"/>
          <w:sz w:val="28"/>
        </w:rPr>
        <w:br w:type="page"/>
      </w:r>
    </w:p>
    <w:p>
      <w:pPr>
        <w:pStyle w:val="5"/>
        <w:spacing w:before="0" w:after="0"/>
        <w:jc w:val="center"/>
        <w:rPr>
          <w:sz w:val="28"/>
        </w:rPr>
      </w:pPr>
      <w:bookmarkStart w:id="63" w:name="_Toc143350538"/>
      <w:r>
        <w:rPr>
          <w:rFonts w:hint="eastAsia"/>
          <w:sz w:val="28"/>
        </w:rPr>
        <w:t>三、技术规格偏差表</w:t>
      </w:r>
      <w:bookmarkEnd w:id="63"/>
    </w:p>
    <w:tbl>
      <w:tblPr>
        <w:tblStyle w:val="31"/>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75"/>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59" w:type="dxa"/>
            <w:vMerge w:val="restart"/>
            <w:vAlign w:val="center"/>
          </w:tcPr>
          <w:p>
            <w:pPr>
              <w:spacing w:line="360" w:lineRule="auto"/>
              <w:jc w:val="center"/>
              <w:rPr>
                <w:rFonts w:ascii="宋体" w:hAnsi="宋体"/>
                <w:b/>
                <w:bCs/>
                <w:sz w:val="24"/>
                <w:szCs w:val="24"/>
              </w:rPr>
            </w:pPr>
            <w:bookmarkStart w:id="64" w:name="_Hlk66008004"/>
            <w:r>
              <w:rPr>
                <w:rFonts w:hint="eastAsia" w:ascii="宋体" w:hAnsi="宋体"/>
                <w:b/>
                <w:bCs/>
                <w:sz w:val="24"/>
                <w:szCs w:val="24"/>
              </w:rPr>
              <w:t>序号</w:t>
            </w:r>
          </w:p>
        </w:tc>
        <w:tc>
          <w:tcPr>
            <w:tcW w:w="1475"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设备名称或条款号</w:t>
            </w:r>
          </w:p>
        </w:tc>
        <w:tc>
          <w:tcPr>
            <w:tcW w:w="2434" w:type="dxa"/>
            <w:gridSpan w:val="2"/>
            <w:vAlign w:val="center"/>
          </w:tcPr>
          <w:p>
            <w:pPr>
              <w:spacing w:line="360" w:lineRule="auto"/>
              <w:jc w:val="center"/>
              <w:rPr>
                <w:rFonts w:ascii="宋体" w:hAnsi="宋体"/>
                <w:b/>
                <w:bCs/>
                <w:sz w:val="24"/>
                <w:szCs w:val="24"/>
              </w:rPr>
            </w:pPr>
            <w:r>
              <w:rPr>
                <w:rFonts w:hint="eastAsia" w:ascii="宋体" w:hAnsi="宋体"/>
                <w:b/>
                <w:bCs/>
                <w:sz w:val="24"/>
                <w:szCs w:val="24"/>
              </w:rPr>
              <w:t>技术参数及要求</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对招标文件偏差</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描述</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vMerge w:val="continue"/>
          </w:tcPr>
          <w:p>
            <w:pPr>
              <w:spacing w:line="360" w:lineRule="auto"/>
              <w:rPr>
                <w:rFonts w:ascii="宋体" w:hAnsi="宋体"/>
                <w:sz w:val="24"/>
                <w:szCs w:val="24"/>
              </w:rPr>
            </w:pPr>
          </w:p>
        </w:tc>
        <w:tc>
          <w:tcPr>
            <w:tcW w:w="1217" w:type="dxa"/>
          </w:tcPr>
          <w:p>
            <w:pPr>
              <w:spacing w:line="360" w:lineRule="auto"/>
              <w:rPr>
                <w:rFonts w:ascii="宋体" w:hAnsi="宋体"/>
                <w:b/>
                <w:bCs/>
                <w:sz w:val="24"/>
                <w:szCs w:val="24"/>
              </w:rPr>
            </w:pPr>
            <w:r>
              <w:rPr>
                <w:rFonts w:hint="eastAsia" w:ascii="宋体" w:hAnsi="宋体"/>
                <w:b/>
                <w:bCs/>
                <w:sz w:val="24"/>
                <w:szCs w:val="24"/>
              </w:rPr>
              <w:t>招标文件</w:t>
            </w:r>
          </w:p>
        </w:tc>
        <w:tc>
          <w:tcPr>
            <w:tcW w:w="1217" w:type="dxa"/>
          </w:tcPr>
          <w:p>
            <w:pPr>
              <w:spacing w:line="360" w:lineRule="auto"/>
              <w:rPr>
                <w:rFonts w:ascii="宋体" w:hAnsi="宋体"/>
                <w:b/>
                <w:bCs/>
                <w:sz w:val="24"/>
                <w:szCs w:val="24"/>
              </w:rPr>
            </w:pPr>
            <w:r>
              <w:rPr>
                <w:rFonts w:hint="eastAsia" w:ascii="宋体" w:hAnsi="宋体"/>
                <w:b/>
                <w:bCs/>
                <w:sz w:val="24"/>
                <w:szCs w:val="24"/>
              </w:rPr>
              <w:t>投标文件</w:t>
            </w:r>
          </w:p>
        </w:tc>
        <w:tc>
          <w:tcPr>
            <w:tcW w:w="1218" w:type="dxa"/>
            <w:vMerge w:val="continue"/>
          </w:tcPr>
          <w:p>
            <w:pPr>
              <w:spacing w:line="360" w:lineRule="auto"/>
              <w:rPr>
                <w:rFonts w:ascii="宋体" w:hAnsi="宋体"/>
                <w:sz w:val="24"/>
                <w:szCs w:val="24"/>
              </w:rPr>
            </w:pPr>
          </w:p>
        </w:tc>
        <w:tc>
          <w:tcPr>
            <w:tcW w:w="1218" w:type="dxa"/>
            <w:vMerge w:val="continue"/>
          </w:tcPr>
          <w:p>
            <w:pPr>
              <w:spacing w:line="360" w:lineRule="auto"/>
              <w:rPr>
                <w:rFonts w:ascii="宋体" w:hAnsi="宋体"/>
                <w:sz w:val="24"/>
                <w:szCs w:val="24"/>
              </w:rPr>
            </w:pPr>
          </w:p>
        </w:tc>
        <w:tc>
          <w:tcPr>
            <w:tcW w:w="1218" w:type="dxa"/>
            <w:vMerge w:val="continue"/>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restart"/>
          </w:tcPr>
          <w:p>
            <w:pPr>
              <w:spacing w:line="360" w:lineRule="auto"/>
              <w:rPr>
                <w:rFonts w:ascii="宋体" w:hAnsi="宋体"/>
                <w:sz w:val="24"/>
                <w:szCs w:val="24"/>
              </w:rPr>
            </w:pPr>
            <w:r>
              <w:rPr>
                <w:rFonts w:hint="eastAsia" w:ascii="宋体" w:hAnsi="宋体"/>
                <w:sz w:val="24"/>
                <w:szCs w:val="24"/>
              </w:rPr>
              <w:t>1</w:t>
            </w:r>
          </w:p>
        </w:tc>
        <w:tc>
          <w:tcPr>
            <w:tcW w:w="1475" w:type="dxa"/>
          </w:tcPr>
          <w:p>
            <w:pPr>
              <w:spacing w:line="360" w:lineRule="auto"/>
              <w:rPr>
                <w:rFonts w:ascii="宋体" w:hAnsi="宋体"/>
                <w:sz w:val="24"/>
                <w:szCs w:val="24"/>
              </w:rPr>
            </w:pPr>
            <w:r>
              <w:rPr>
                <w:rFonts w:hint="eastAsia" w:ascii="宋体" w:hAnsi="宋体"/>
                <w:sz w:val="24"/>
                <w:szCs w:val="24"/>
              </w:rPr>
              <w:t>设备或配置名称1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参数名称2</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ascii="宋体" w:hAnsi="宋体"/>
                <w:sz w:val="24"/>
                <w:szCs w:val="24"/>
              </w:rPr>
              <w:t>……</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restart"/>
          </w:tcPr>
          <w:p>
            <w:pPr>
              <w:spacing w:line="360" w:lineRule="auto"/>
              <w:rPr>
                <w:rFonts w:ascii="宋体" w:hAnsi="宋体"/>
                <w:sz w:val="24"/>
                <w:szCs w:val="24"/>
              </w:rPr>
            </w:pPr>
            <w:r>
              <w:rPr>
                <w:rFonts w:hint="eastAsia" w:ascii="宋体" w:hAnsi="宋体"/>
                <w:sz w:val="24"/>
                <w:szCs w:val="24"/>
              </w:rPr>
              <w:t>2</w:t>
            </w:r>
          </w:p>
        </w:tc>
        <w:tc>
          <w:tcPr>
            <w:tcW w:w="1475" w:type="dxa"/>
          </w:tcPr>
          <w:p>
            <w:pPr>
              <w:spacing w:line="360" w:lineRule="auto"/>
              <w:rPr>
                <w:rFonts w:ascii="宋体" w:hAnsi="宋体"/>
                <w:sz w:val="24"/>
                <w:szCs w:val="24"/>
              </w:rPr>
            </w:pPr>
            <w:r>
              <w:rPr>
                <w:rFonts w:hint="eastAsia" w:ascii="宋体" w:hAnsi="宋体"/>
                <w:sz w:val="24"/>
                <w:szCs w:val="24"/>
              </w:rPr>
              <w:t>设备或配置名称1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参数名称2</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ascii="宋体" w:hAnsi="宋体"/>
                <w:sz w:val="24"/>
                <w:szCs w:val="24"/>
              </w:rPr>
              <w:t>……</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bl>
    <w:p>
      <w:pPr>
        <w:spacing w:line="360" w:lineRule="auto"/>
        <w:rPr>
          <w:sz w:val="24"/>
          <w:szCs w:val="24"/>
        </w:rPr>
      </w:pPr>
    </w:p>
    <w:bookmarkEnd w:id="64"/>
    <w:p>
      <w:pPr>
        <w:spacing w:line="360" w:lineRule="auto"/>
        <w:jc w:val="left"/>
        <w:rPr>
          <w:rFonts w:ascii="宋体" w:hAnsi="宋体"/>
          <w:sz w:val="24"/>
        </w:rPr>
      </w:pPr>
      <w:r>
        <w:rPr>
          <w:rFonts w:hint="eastAsia" w:ascii="宋体" w:hAnsi="宋体"/>
          <w:sz w:val="24"/>
        </w:rPr>
        <w:t xml:space="preserve">法定代表人或授权代表（个人电子签章或签字）：   </w:t>
      </w:r>
    </w:p>
    <w:p>
      <w:pPr>
        <w:spacing w:line="360" w:lineRule="auto"/>
        <w:jc w:val="left"/>
        <w:rPr>
          <w:rFonts w:ascii="宋体" w:hAnsi="宋体"/>
          <w:sz w:val="24"/>
        </w:rPr>
      </w:pPr>
      <w:r>
        <w:rPr>
          <w:rFonts w:hint="eastAsia" w:ascii="宋体" w:hAnsi="宋体"/>
          <w:sz w:val="24"/>
        </w:rPr>
        <w:t>投标人名称（企业电子签章或公章）：</w:t>
      </w:r>
    </w:p>
    <w:p>
      <w:pPr>
        <w:spacing w:line="360" w:lineRule="auto"/>
        <w:jc w:val="left"/>
        <w:rPr>
          <w:rFonts w:ascii="宋体" w:hAnsi="宋体"/>
          <w:sz w:val="24"/>
        </w:rPr>
      </w:pPr>
      <w:r>
        <w:rPr>
          <w:rFonts w:hint="eastAsia" w:ascii="宋体" w:hAnsi="宋体"/>
          <w:sz w:val="24"/>
        </w:rPr>
        <w:t>日期：</w:t>
      </w:r>
    </w:p>
    <w:p>
      <w:pPr>
        <w:spacing w:line="360" w:lineRule="auto"/>
        <w:rPr>
          <w:rFonts w:ascii="宋体" w:hAnsi="宋体"/>
          <w:b/>
          <w:sz w:val="24"/>
        </w:rPr>
      </w:pPr>
      <w:r>
        <w:rPr>
          <w:rFonts w:hint="eastAsia" w:ascii="宋体" w:hAnsi="宋体"/>
          <w:b/>
          <w:sz w:val="24"/>
        </w:rPr>
        <w:t xml:space="preserve">注： </w:t>
      </w:r>
    </w:p>
    <w:p>
      <w:pPr>
        <w:spacing w:line="360" w:lineRule="auto"/>
        <w:rPr>
          <w:rFonts w:ascii="宋体" w:hAnsi="宋体"/>
          <w:b/>
          <w:sz w:val="24"/>
        </w:rPr>
      </w:pPr>
      <w:r>
        <w:rPr>
          <w:rFonts w:hint="eastAsia" w:ascii="宋体" w:hAnsi="宋体"/>
          <w:b/>
          <w:sz w:val="24"/>
        </w:rPr>
        <w:t xml:space="preserve">1.对招标文件偏差填写“无偏差”或“正偏差” 或“负偏差”，并在“描述”栏中加以说明。 </w:t>
      </w:r>
    </w:p>
    <w:p>
      <w:pPr>
        <w:spacing w:line="360" w:lineRule="auto"/>
        <w:rPr>
          <w:rFonts w:ascii="宋体" w:hAnsi="宋体"/>
          <w:b/>
          <w:sz w:val="24"/>
        </w:rPr>
      </w:pPr>
      <w:r>
        <w:rPr>
          <w:rFonts w:hint="eastAsia" w:ascii="宋体" w:hAnsi="宋体"/>
          <w:b/>
          <w:sz w:val="24"/>
        </w:rPr>
        <w:t xml:space="preserve">2.正偏离是指响应的条件高于招标文件要求，负偏离是指响应的条件低于招标文件要求。 </w:t>
      </w:r>
    </w:p>
    <w:p>
      <w:r>
        <w:rPr>
          <w:rFonts w:hint="eastAsia" w:ascii="宋体" w:hAnsi="宋体"/>
          <w:b/>
          <w:sz w:val="24"/>
        </w:rPr>
        <w:t>3.正偏离不加分，负偏离按评审标准作扣分处理。</w:t>
      </w:r>
    </w:p>
    <w:p/>
    <w:p>
      <w:pPr>
        <w:pStyle w:val="16"/>
      </w:pPr>
      <w:r>
        <w:tab/>
      </w:r>
    </w:p>
    <w:p>
      <w:pPr>
        <w:rPr>
          <w:sz w:val="28"/>
        </w:rPr>
      </w:pPr>
      <w:r>
        <w:rPr>
          <w:rFonts w:hint="eastAsia"/>
          <w:sz w:val="28"/>
        </w:rPr>
        <w:br w:type="page"/>
      </w:r>
    </w:p>
    <w:p>
      <w:pPr>
        <w:pStyle w:val="5"/>
        <w:spacing w:before="0" w:after="0"/>
        <w:jc w:val="center"/>
        <w:rPr>
          <w:sz w:val="28"/>
        </w:rPr>
      </w:pPr>
      <w:bookmarkStart w:id="65" w:name="_Toc143350539"/>
      <w:r>
        <w:rPr>
          <w:rFonts w:hint="eastAsia"/>
          <w:sz w:val="28"/>
        </w:rPr>
        <w:t>四、实施方案</w:t>
      </w:r>
      <w:bookmarkEnd w:id="65"/>
    </w:p>
    <w:p>
      <w:pPr>
        <w:ind w:firstLine="630" w:firstLineChars="300"/>
      </w:pPr>
      <w:r>
        <w:rPr>
          <w:rFonts w:hint="eastAsia"/>
        </w:rPr>
        <w:t>各投标人根据本项目评标办法结合自身的实际情况自行编制，格式不限。</w:t>
      </w:r>
    </w:p>
    <w:p>
      <w:pPr>
        <w:ind w:firstLine="630" w:firstLineChars="300"/>
      </w:pPr>
    </w:p>
    <w:p>
      <w:pPr>
        <w:rPr>
          <w:rFonts w:asciiTheme="minorEastAsia" w:hAnsiTheme="minorEastAsia"/>
          <w:b/>
        </w:rPr>
      </w:pPr>
      <w:r>
        <w:rPr>
          <w:rFonts w:asciiTheme="minorEastAsia" w:hAnsiTheme="minorEastAsia"/>
          <w:b/>
        </w:rPr>
        <w:br w:type="page"/>
      </w:r>
    </w:p>
    <w:p>
      <w:pPr>
        <w:pStyle w:val="5"/>
        <w:spacing w:before="0" w:after="0"/>
        <w:jc w:val="center"/>
        <w:rPr>
          <w:sz w:val="28"/>
        </w:rPr>
      </w:pPr>
      <w:bookmarkStart w:id="66" w:name="_Toc143350540"/>
      <w:r>
        <w:rPr>
          <w:rFonts w:hint="eastAsia"/>
          <w:sz w:val="28"/>
        </w:rPr>
        <w:t>五、售后服务承诺</w:t>
      </w:r>
      <w:bookmarkEnd w:id="66"/>
    </w:p>
    <w:p/>
    <w:p>
      <w:pPr>
        <w:ind w:firstLine="630" w:firstLineChars="300"/>
      </w:pPr>
      <w:r>
        <w:rPr>
          <w:rFonts w:hint="eastAsia"/>
        </w:rPr>
        <w:t>各投标人根据本项目评标办法结合自身的实际情况自行编制，格式不限。</w:t>
      </w:r>
    </w:p>
    <w:p>
      <w:pPr>
        <w:ind w:firstLine="630" w:firstLineChars="300"/>
      </w:pPr>
    </w:p>
    <w:p>
      <w:pPr>
        <w:rPr>
          <w:sz w:val="28"/>
        </w:rPr>
      </w:pPr>
    </w:p>
    <w:p>
      <w:pPr>
        <w:rPr>
          <w:sz w:val="28"/>
        </w:rPr>
      </w:pPr>
      <w:r>
        <w:rPr>
          <w:rFonts w:hint="eastAsia"/>
          <w:sz w:val="28"/>
        </w:rPr>
        <w:br w:type="page"/>
      </w:r>
    </w:p>
    <w:p>
      <w:pPr>
        <w:pStyle w:val="5"/>
        <w:spacing w:before="0" w:after="0"/>
        <w:jc w:val="center"/>
        <w:rPr>
          <w:sz w:val="28"/>
        </w:rPr>
      </w:pPr>
      <w:bookmarkStart w:id="67" w:name="_Toc143350541"/>
      <w:r>
        <w:rPr>
          <w:rFonts w:hint="eastAsia"/>
          <w:sz w:val="28"/>
        </w:rPr>
        <w:t>六、投标人承诺函</w:t>
      </w:r>
      <w:bookmarkEnd w:id="67"/>
    </w:p>
    <w:p>
      <w:pPr>
        <w:pStyle w:val="6"/>
        <w:spacing w:before="0" w:after="0"/>
        <w:jc w:val="center"/>
        <w:rPr>
          <w:sz w:val="24"/>
        </w:rPr>
      </w:pPr>
      <w:r>
        <w:rPr>
          <w:rFonts w:hint="eastAsia"/>
          <w:sz w:val="24"/>
        </w:rPr>
        <w:t>1.投标承诺函</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rPr>
        <w:t>致（采购人或采购代理机构）</w:t>
      </w:r>
      <w:r>
        <w:rPr>
          <w:rFonts w:hint="eastAsia" w:asciiTheme="minorEastAsia" w:hAnsiTheme="minorEastAsia" w:eastAsiaTheme="minorEastAsia"/>
          <w:spacing w:val="7"/>
        </w:rPr>
        <w:t>：</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我公司作为本次采购项目的投标人，根据招标文件要求，现郑重承诺如下：</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一、具备《中华人民共和国政府采购法》第二十二条第一款和本项目规定的条件。</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三、参加本次招标采购活动，不存在为采购项目提供整体设计、规范编制或者项目管理、监理、检测等服务的行为。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四、参加本次招标采购活动，不存在和其他投标人在同一合同项下的采购项目中，同时委托同一个自然人、同一家庭的人员、同一单位的人员作为代理人的行为。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五、投标人参加本次政府采购活动要求在近三年内投标人和其法定代表人没有行贿犯罪行为。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六、参加本次招标采购活动，不存在联合体投标。</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七、投标文件中提供的能够给予我公司带来优惠、好处的任何材料资料和技术、服务、商务等响应承诺情况都是真实的、有效的、合法的。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r>
        <w:rPr>
          <w:rFonts w:asciiTheme="minorEastAsia" w:hAnsiTheme="minorEastAsia" w:eastAsiaTheme="minorEastAsia"/>
          <w:spacing w:val="7"/>
        </w:rPr>
        <w:t xml:space="preserve"> </w:t>
      </w:r>
      <w:r>
        <w:rPr>
          <w:rFonts w:hint="eastAsia" w:asciiTheme="minorEastAsia" w:hAnsiTheme="minorEastAsia" w:eastAsiaTheme="minorEastAsia"/>
          <w:spacing w:val="7"/>
        </w:rPr>
        <w:t xml:space="preserve"> 八、存在以下行为之一的愿意接受相关部门的处理：</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（一）投标有效期内撤销投标文件的；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（二）在采购人确定中标人以前放弃中标候选资格的；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（三）由于中标人的原因未能按照招标文件的规定与采购人签订合同；</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（四）在投标文件中提供虚假材料谋取中标；</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（五）与采购人、其他投标人或者采购代理机构恶意串通的；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（六）投标有效期内，投标人在政府采购活动中有违法、违规、违纪行为。</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由此产生的一切法律后果和责任由我公司承担。我公司声明放弃对此提出任何异议和追索的权利。</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本公司对上述承诺的内容事项真实性负责。如经查实上述承诺的内容事项存在虚假，我公司愿意接受以提供虚假材料谋取中标追究法律责任。</w:t>
      </w:r>
    </w:p>
    <w:p>
      <w:pPr>
        <w:pStyle w:val="27"/>
        <w:spacing w:before="0" w:beforeAutospacing="0" w:after="0" w:afterAutospacing="0" w:line="360" w:lineRule="auto"/>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w:t>
      </w:r>
      <w:r>
        <w:rPr>
          <w:rFonts w:hint="eastAsia" w:asciiTheme="minorEastAsia" w:hAnsiTheme="minorEastAsia" w:eastAsiaTheme="minorEastAsia"/>
        </w:rPr>
        <w:t>企业电子签章或公章</w:t>
      </w:r>
      <w:r>
        <w:rPr>
          <w:rFonts w:hint="eastAsia" w:asciiTheme="minorEastAsia" w:hAnsiTheme="minorEastAsia" w:eastAsiaTheme="minorEastAsia"/>
          <w:spacing w:val="7"/>
        </w:rPr>
        <w:t>）：</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个人电子签章或签字</w:t>
      </w:r>
      <w:r>
        <w:rPr>
          <w:rFonts w:hint="eastAsia" w:asciiTheme="minorEastAsia" w:hAnsiTheme="minorEastAsia" w:eastAsiaTheme="minorEastAsia"/>
          <w:spacing w:val="7"/>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              </w:t>
      </w:r>
    </w:p>
    <w:p>
      <w:pPr>
        <w:pStyle w:val="27"/>
        <w:spacing w:before="0" w:beforeAutospacing="0" w:after="0" w:afterAutospacing="0" w:line="360" w:lineRule="auto"/>
        <w:ind w:firstLine="495"/>
        <w:jc w:val="both"/>
        <w:rPr>
          <w:rFonts w:asciiTheme="minorEastAsia" w:hAnsiTheme="minorEastAsia" w:eastAsiaTheme="minorEastAsia"/>
          <w:spacing w:val="7"/>
          <w:sz w:val="26"/>
          <w:szCs w:val="26"/>
        </w:rPr>
      </w:pPr>
      <w:r>
        <w:rPr>
          <w:rFonts w:hint="eastAsia" w:asciiTheme="minorEastAsia" w:hAnsiTheme="minorEastAsia" w:eastAsiaTheme="minorEastAsia"/>
        </w:rPr>
        <w:t> </w:t>
      </w:r>
    </w:p>
    <w:p>
      <w:pPr>
        <w:rPr>
          <w:rFonts w:asciiTheme="minorEastAsia" w:hAnsiTheme="minorEastAsia"/>
        </w:rPr>
      </w:pPr>
    </w:p>
    <w:p>
      <w:pPr>
        <w:widowControl/>
        <w:jc w:val="left"/>
        <w:rPr>
          <w:rFonts w:asciiTheme="minorEastAsia" w:hAnsiTheme="minorEastAsia"/>
          <w:b/>
        </w:rPr>
      </w:pPr>
      <w:r>
        <w:rPr>
          <w:rFonts w:asciiTheme="minorEastAsia" w:hAnsiTheme="minorEastAsia"/>
          <w:b/>
        </w:rPr>
        <w:br w:type="page"/>
      </w:r>
    </w:p>
    <w:p>
      <w:pPr>
        <w:pStyle w:val="6"/>
        <w:spacing w:before="0" w:after="0"/>
        <w:jc w:val="center"/>
        <w:rPr>
          <w:sz w:val="24"/>
        </w:rPr>
      </w:pPr>
      <w:r>
        <w:rPr>
          <w:rFonts w:hint="eastAsia"/>
          <w:sz w:val="24"/>
        </w:rPr>
        <w:t>2.招标代理服务费承诺函</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致（采购人或采购代理机构） ：</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我们在贵公司组织的（</w:t>
      </w:r>
      <w:r>
        <w:rPr>
          <w:rFonts w:hint="eastAsia" w:asciiTheme="minorEastAsia" w:hAnsiTheme="minorEastAsia" w:eastAsiaTheme="minorEastAsia"/>
          <w:spacing w:val="7"/>
          <w:u w:val="single"/>
        </w:rPr>
        <w:t xml:space="preserve">项目名称：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u w:val="single"/>
        </w:rPr>
        <w:t xml:space="preserve"> ，采购代理编号：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特此承诺。</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投标人名称（企业电子签章或公章）：</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个人电子签章或签字</w:t>
      </w:r>
      <w:r>
        <w:rPr>
          <w:rFonts w:hint="eastAsia" w:asciiTheme="minorEastAsia" w:hAnsiTheme="minorEastAsia" w:eastAsiaTheme="minorEastAsia"/>
          <w:spacing w:val="7"/>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68" w:name="_Toc143350542"/>
      <w:r>
        <w:rPr>
          <w:rFonts w:hint="eastAsia"/>
          <w:sz w:val="28"/>
        </w:rPr>
        <w:t>七、</w:t>
      </w:r>
      <w:r>
        <w:rPr>
          <w:sz w:val="28"/>
        </w:rPr>
        <w:t>近</w:t>
      </w:r>
      <w:r>
        <w:rPr>
          <w:rFonts w:hint="eastAsia"/>
          <w:sz w:val="28"/>
        </w:rPr>
        <w:t>三</w:t>
      </w:r>
      <w:r>
        <w:rPr>
          <w:sz w:val="28"/>
        </w:rPr>
        <w:t>年类似</w:t>
      </w:r>
      <w:r>
        <w:rPr>
          <w:rFonts w:hint="eastAsia"/>
          <w:sz w:val="28"/>
        </w:rPr>
        <w:t>业绩及目前正在执行合同的情况</w:t>
      </w:r>
      <w:bookmarkEnd w:id="68"/>
    </w:p>
    <w:tbl>
      <w:tblPr>
        <w:tblStyle w:val="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序号</w:t>
            </w:r>
          </w:p>
        </w:tc>
        <w:tc>
          <w:tcPr>
            <w:tcW w:w="293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项目名称</w:t>
            </w:r>
          </w:p>
        </w:tc>
        <w:tc>
          <w:tcPr>
            <w:tcW w:w="176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实施时间</w:t>
            </w:r>
          </w:p>
        </w:tc>
        <w:tc>
          <w:tcPr>
            <w:tcW w:w="302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bl>
    <w:p>
      <w:pPr>
        <w:autoSpaceDE w:val="0"/>
        <w:autoSpaceDN w:val="0"/>
        <w:adjustRightInd w:val="0"/>
        <w:spacing w:line="440" w:lineRule="exact"/>
        <w:rPr>
          <w:rFonts w:asciiTheme="minorEastAsia" w:hAnsiTheme="minorEastAsia"/>
        </w:rPr>
      </w:pPr>
      <w:r>
        <w:rPr>
          <w:rFonts w:hint="eastAsia" w:asciiTheme="minorEastAsia" w:hAnsiTheme="minorEastAsia"/>
        </w:rPr>
        <w:t>注：投标人可按上述的格式自行编制，须随表提交相应的合同扫描件或复印件。</w:t>
      </w:r>
    </w:p>
    <w:p>
      <w:pPr>
        <w:autoSpaceDE w:val="0"/>
        <w:autoSpaceDN w:val="0"/>
        <w:adjustRightInd w:val="0"/>
        <w:spacing w:line="440" w:lineRule="exact"/>
        <w:rPr>
          <w:rFonts w:asciiTheme="minorEastAsia" w:hAnsiTheme="minorEastAsia"/>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个人电子签章或签字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企业电子签章或公章）</w:t>
      </w:r>
      <w:r>
        <w:rPr>
          <w:rFonts w:hint="eastAsia" w:asciiTheme="minorEastAsia" w:hAnsiTheme="minorEastAsia"/>
          <w:bCs/>
          <w:kern w:val="0"/>
          <w:sz w:val="24"/>
        </w:rPr>
        <w:t>：</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widowControl/>
        <w:jc w:val="left"/>
        <w:rPr>
          <w:rFonts w:asciiTheme="minorEastAsia" w:hAnsiTheme="minorEastAsia"/>
        </w:rPr>
      </w:pPr>
    </w:p>
    <w:p>
      <w:pPr>
        <w:pStyle w:val="16"/>
      </w:pPr>
    </w:p>
    <w:p/>
    <w:p>
      <w:pPr>
        <w:pStyle w:val="16"/>
      </w:pPr>
    </w:p>
    <w:p>
      <w:pPr>
        <w:pStyle w:val="16"/>
      </w:pPr>
    </w:p>
    <w:p>
      <w:pPr>
        <w:pStyle w:val="16"/>
      </w:pPr>
    </w:p>
    <w:p>
      <w:pPr>
        <w:pStyle w:val="16"/>
      </w:pPr>
    </w:p>
    <w:p>
      <w:pPr>
        <w:pStyle w:val="16"/>
      </w:pPr>
    </w:p>
    <w:p>
      <w:pPr>
        <w:pStyle w:val="16"/>
      </w:pPr>
    </w:p>
    <w:p>
      <w:pPr>
        <w:pStyle w:val="16"/>
      </w:pPr>
    </w:p>
    <w:p>
      <w:pPr>
        <w:widowControl/>
        <w:jc w:val="left"/>
        <w:rPr>
          <w:b/>
          <w:bCs/>
          <w:sz w:val="28"/>
          <w:szCs w:val="32"/>
        </w:rPr>
      </w:pPr>
      <w:r>
        <w:rPr>
          <w:sz w:val="28"/>
        </w:rPr>
        <w:br w:type="page"/>
      </w:r>
    </w:p>
    <w:p>
      <w:pPr>
        <w:pStyle w:val="5"/>
        <w:spacing w:before="0" w:after="0"/>
        <w:jc w:val="center"/>
        <w:rPr>
          <w:sz w:val="28"/>
        </w:rPr>
      </w:pPr>
      <w:bookmarkStart w:id="69" w:name="_Toc143350543"/>
      <w:r>
        <w:rPr>
          <w:rFonts w:hint="eastAsia"/>
          <w:sz w:val="28"/>
        </w:rPr>
        <w:t>八、投标人简介</w:t>
      </w:r>
      <w:bookmarkEnd w:id="69"/>
    </w:p>
    <w:p>
      <w:pPr>
        <w:autoSpaceDE w:val="0"/>
        <w:autoSpaceDN w:val="0"/>
        <w:adjustRightInd w:val="0"/>
        <w:spacing w:line="440" w:lineRule="exact"/>
        <w:rPr>
          <w:rFonts w:asciiTheme="minorEastAsia" w:hAnsiTheme="minorEastAsia"/>
          <w:bCs/>
          <w:spacing w:val="10"/>
          <w:kern w:val="0"/>
          <w:sz w:val="24"/>
        </w:rPr>
      </w:pPr>
      <w:r>
        <w:rPr>
          <w:rFonts w:hint="eastAsia" w:asciiTheme="minorEastAsia" w:hAnsiTheme="minorEastAsia"/>
          <w:bCs/>
          <w:spacing w:val="10"/>
          <w:kern w:val="0"/>
          <w:sz w:val="24"/>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个人电子签章或签字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企业电子签章或公章）</w:t>
      </w:r>
      <w:r>
        <w:rPr>
          <w:rFonts w:hint="eastAsia" w:asciiTheme="minorEastAsia" w:hAnsiTheme="minorEastAsia"/>
          <w:bCs/>
          <w:kern w:val="0"/>
          <w:sz w:val="24"/>
        </w:rPr>
        <w:t>：</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70" w:name="_Toc143350544"/>
      <w:r>
        <w:rPr>
          <w:rFonts w:hint="eastAsia"/>
          <w:sz w:val="28"/>
        </w:rPr>
        <w:t>九、中小企业声明函</w:t>
      </w:r>
      <w:bookmarkEnd w:id="70"/>
    </w:p>
    <w:p>
      <w:pPr>
        <w:pStyle w:val="6"/>
        <w:spacing w:before="0" w:after="0"/>
        <w:jc w:val="center"/>
        <w:rPr>
          <w:sz w:val="24"/>
        </w:rPr>
      </w:pPr>
      <w:r>
        <w:rPr>
          <w:rFonts w:hint="eastAsia"/>
          <w:sz w:val="24"/>
        </w:rPr>
        <w:t>1.中小企业声明函</w:t>
      </w:r>
    </w:p>
    <w:p>
      <w:pPr>
        <w:widowControl/>
        <w:spacing w:after="240" w:line="400" w:lineRule="exact"/>
        <w:ind w:firstLine="480" w:firstLineChars="200"/>
        <w:jc w:val="left"/>
        <w:textAlignment w:val="baseline"/>
        <w:rPr>
          <w:rFonts w:ascii="Cambria" w:hAnsi="Cambria"/>
          <w:bCs/>
          <w:sz w:val="24"/>
          <w:szCs w:val="28"/>
        </w:rPr>
      </w:pPr>
      <w:bookmarkStart w:id="71" w:name="_Hlk113357012"/>
      <w:r>
        <w:rPr>
          <w:rFonts w:hint="eastAsia" w:ascii="Cambria" w:hAnsi="Cambria"/>
          <w:bCs/>
          <w:sz w:val="24"/>
          <w:szCs w:val="28"/>
        </w:rPr>
        <w:t>本公司（联合体）郑重声明，根据《政府采购促进中小企业发展管理办法》（财库﹝2020﹞46 号）的规定，本公司（联合体）参加</w:t>
      </w:r>
      <w:r>
        <w:rPr>
          <w:rFonts w:hint="eastAsia" w:ascii="仿宋" w:hAnsi="仿宋" w:eastAsia="仿宋"/>
          <w:bCs/>
          <w:i/>
          <w:sz w:val="24"/>
          <w:szCs w:val="28"/>
          <w:u w:val="single"/>
        </w:rPr>
        <w:t>（单位名称）</w:t>
      </w:r>
      <w:r>
        <w:rPr>
          <w:rFonts w:hint="eastAsia" w:ascii="Cambria" w:hAnsi="Cambria"/>
          <w:bCs/>
          <w:sz w:val="24"/>
          <w:szCs w:val="28"/>
        </w:rPr>
        <w:t>的</w:t>
      </w:r>
      <w:r>
        <w:rPr>
          <w:rFonts w:hint="eastAsia" w:ascii="仿宋" w:hAnsi="仿宋" w:eastAsia="仿宋"/>
          <w:bCs/>
          <w:i/>
          <w:sz w:val="24"/>
          <w:szCs w:val="28"/>
          <w:u w:val="single"/>
        </w:rPr>
        <w:t>（项目名称）</w:t>
      </w:r>
      <w:r>
        <w:rPr>
          <w:rFonts w:hint="eastAsia" w:ascii="Cambria" w:hAnsi="Cambria"/>
          <w:bCs/>
          <w:sz w:val="24"/>
          <w:szCs w:val="28"/>
        </w:rPr>
        <w:t>采购活动，提供的货物全部由符合政策要求的中小企业制造。相关企业（含联合体中的中小企业、签订分包意向协议的中小企业）的具体情况如下：</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 xml:space="preserve">1. </w:t>
      </w:r>
      <w:r>
        <w:rPr>
          <w:rFonts w:hint="eastAsia" w:ascii="仿宋" w:hAnsi="仿宋" w:eastAsia="仿宋"/>
          <w:bCs/>
          <w:i/>
          <w:sz w:val="24"/>
          <w:szCs w:val="28"/>
          <w:u w:val="single"/>
        </w:rPr>
        <w:t>（标的名称）</w:t>
      </w:r>
      <w:r>
        <w:rPr>
          <w:rFonts w:hint="eastAsia" w:ascii="Cambria" w:hAnsi="Cambria"/>
          <w:bCs/>
          <w:i/>
          <w:sz w:val="24"/>
          <w:szCs w:val="28"/>
          <w:u w:val="single"/>
        </w:rPr>
        <w:t xml:space="preserve"> </w:t>
      </w:r>
      <w:r>
        <w:rPr>
          <w:rFonts w:hint="eastAsia" w:ascii="Cambria" w:hAnsi="Cambria"/>
          <w:bCs/>
          <w:sz w:val="24"/>
          <w:szCs w:val="28"/>
        </w:rPr>
        <w:t>，属于</w:t>
      </w:r>
      <w:r>
        <w:rPr>
          <w:rFonts w:hint="eastAsia" w:ascii="仿宋" w:hAnsi="仿宋" w:eastAsia="仿宋"/>
          <w:bCs/>
          <w:i/>
          <w:sz w:val="24"/>
          <w:szCs w:val="28"/>
          <w:u w:val="single"/>
        </w:rPr>
        <w:t>（采购文件中明确的所属行业）</w:t>
      </w:r>
      <w:r>
        <w:rPr>
          <w:rFonts w:hint="eastAsia" w:ascii="Cambria" w:hAnsi="Cambria"/>
          <w:bCs/>
          <w:sz w:val="24"/>
          <w:szCs w:val="28"/>
        </w:rPr>
        <w:t>；制造商为</w:t>
      </w:r>
      <w:r>
        <w:rPr>
          <w:rFonts w:hint="eastAsia" w:ascii="仿宋" w:hAnsi="仿宋" w:eastAsia="仿宋"/>
          <w:bCs/>
          <w:i/>
          <w:sz w:val="24"/>
          <w:szCs w:val="28"/>
          <w:u w:val="single"/>
        </w:rPr>
        <w:t>（企业名称）</w:t>
      </w:r>
      <w:r>
        <w:rPr>
          <w:rFonts w:hint="eastAsia" w:ascii="Cambria" w:hAnsi="Cambria"/>
          <w:bCs/>
          <w:sz w:val="24"/>
          <w:szCs w:val="28"/>
        </w:rPr>
        <w:t>，从业人员</w:t>
      </w:r>
      <w:r>
        <w:rPr>
          <w:rFonts w:hint="eastAsia" w:ascii="Cambria" w:hAnsi="Cambria"/>
          <w:bCs/>
          <w:sz w:val="24"/>
          <w:szCs w:val="28"/>
          <w:u w:val="single"/>
        </w:rPr>
        <w:t xml:space="preserve">   </w:t>
      </w:r>
      <w:r>
        <w:rPr>
          <w:rFonts w:hint="eastAsia" w:ascii="Cambria" w:hAnsi="Cambria"/>
          <w:bCs/>
          <w:sz w:val="24"/>
          <w:szCs w:val="28"/>
        </w:rPr>
        <w:t>人，营业收入为</w:t>
      </w:r>
      <w:r>
        <w:rPr>
          <w:rFonts w:hint="eastAsia" w:ascii="Cambria" w:hAnsi="Cambria"/>
          <w:bCs/>
          <w:sz w:val="24"/>
          <w:szCs w:val="28"/>
          <w:u w:val="single"/>
        </w:rPr>
        <w:t xml:space="preserve">   </w:t>
      </w:r>
      <w:r>
        <w:rPr>
          <w:rFonts w:hint="eastAsia" w:ascii="Cambria" w:hAnsi="Cambria"/>
          <w:bCs/>
          <w:sz w:val="24"/>
          <w:szCs w:val="28"/>
        </w:rPr>
        <w:t>万元（</w:t>
      </w:r>
      <w:r>
        <w:rPr>
          <w:rFonts w:hint="eastAsia" w:ascii="仿宋" w:hAnsi="仿宋" w:eastAsia="仿宋"/>
          <w:bCs/>
          <w:szCs w:val="28"/>
        </w:rPr>
        <w:t>从业人员、营业收入、资产总额填报上一年度数据，无上一年度数据的新成立企业可不填报</w:t>
      </w:r>
      <w:r>
        <w:rPr>
          <w:rFonts w:hint="eastAsia" w:ascii="Cambria" w:hAnsi="Cambria"/>
          <w:bCs/>
          <w:sz w:val="24"/>
          <w:szCs w:val="28"/>
        </w:rPr>
        <w:t>），资产总额为</w:t>
      </w:r>
      <w:r>
        <w:rPr>
          <w:rFonts w:hint="eastAsia" w:ascii="Cambria" w:hAnsi="Cambria"/>
          <w:bCs/>
          <w:sz w:val="24"/>
          <w:szCs w:val="28"/>
          <w:u w:val="single"/>
        </w:rPr>
        <w:t xml:space="preserve">   </w:t>
      </w:r>
      <w:r>
        <w:rPr>
          <w:rFonts w:hint="eastAsia" w:ascii="Cambria" w:hAnsi="Cambria"/>
          <w:bCs/>
          <w:sz w:val="24"/>
          <w:szCs w:val="28"/>
        </w:rPr>
        <w:t>万元，属于</w:t>
      </w:r>
      <w:r>
        <w:rPr>
          <w:rFonts w:hint="eastAsia" w:ascii="仿宋" w:hAnsi="仿宋" w:eastAsia="仿宋"/>
          <w:bCs/>
          <w:i/>
          <w:sz w:val="24"/>
          <w:szCs w:val="28"/>
          <w:u w:val="single"/>
        </w:rPr>
        <w:t>（中型企业、小型企业、微型企业）</w:t>
      </w: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 xml:space="preserve">2. </w:t>
      </w:r>
      <w:r>
        <w:rPr>
          <w:rFonts w:hint="eastAsia" w:ascii="仿宋" w:hAnsi="仿宋" w:eastAsia="仿宋"/>
          <w:bCs/>
          <w:i/>
          <w:sz w:val="24"/>
          <w:szCs w:val="28"/>
          <w:u w:val="single"/>
        </w:rPr>
        <w:t>（标的名称）</w:t>
      </w:r>
      <w:r>
        <w:rPr>
          <w:rFonts w:hint="eastAsia" w:ascii="Cambria" w:hAnsi="Cambria"/>
          <w:bCs/>
          <w:i/>
          <w:sz w:val="24"/>
          <w:szCs w:val="28"/>
          <w:u w:val="single"/>
        </w:rPr>
        <w:t xml:space="preserve"> </w:t>
      </w:r>
      <w:r>
        <w:rPr>
          <w:rFonts w:hint="eastAsia" w:ascii="Cambria" w:hAnsi="Cambria"/>
          <w:bCs/>
          <w:sz w:val="24"/>
          <w:szCs w:val="28"/>
        </w:rPr>
        <w:t>，属于</w:t>
      </w:r>
      <w:r>
        <w:rPr>
          <w:rFonts w:hint="eastAsia" w:ascii="仿宋" w:hAnsi="仿宋" w:eastAsia="仿宋"/>
          <w:bCs/>
          <w:i/>
          <w:sz w:val="24"/>
          <w:szCs w:val="28"/>
          <w:u w:val="single"/>
        </w:rPr>
        <w:t>（采购文件中明确的所属行业）</w:t>
      </w:r>
      <w:r>
        <w:rPr>
          <w:rFonts w:hint="eastAsia" w:ascii="Cambria" w:hAnsi="Cambria"/>
          <w:bCs/>
          <w:sz w:val="24"/>
          <w:szCs w:val="28"/>
        </w:rPr>
        <w:t>；制造商为</w:t>
      </w:r>
      <w:r>
        <w:rPr>
          <w:rFonts w:hint="eastAsia" w:ascii="仿宋" w:hAnsi="仿宋" w:eastAsia="仿宋"/>
          <w:bCs/>
          <w:i/>
          <w:sz w:val="24"/>
          <w:szCs w:val="28"/>
          <w:u w:val="single"/>
        </w:rPr>
        <w:t>（企业名称）</w:t>
      </w:r>
      <w:r>
        <w:rPr>
          <w:rFonts w:hint="eastAsia" w:ascii="Cambria" w:hAnsi="Cambria"/>
          <w:bCs/>
          <w:sz w:val="24"/>
          <w:szCs w:val="28"/>
        </w:rPr>
        <w:t>，从业人员</w:t>
      </w:r>
      <w:r>
        <w:rPr>
          <w:rFonts w:hint="eastAsia" w:ascii="Cambria" w:hAnsi="Cambria"/>
          <w:bCs/>
          <w:sz w:val="24"/>
          <w:szCs w:val="28"/>
          <w:u w:val="single"/>
        </w:rPr>
        <w:t xml:space="preserve">   </w:t>
      </w:r>
      <w:r>
        <w:rPr>
          <w:rFonts w:hint="eastAsia" w:ascii="Cambria" w:hAnsi="Cambria"/>
          <w:bCs/>
          <w:sz w:val="24"/>
          <w:szCs w:val="28"/>
        </w:rPr>
        <w:t>人，营业收入为</w:t>
      </w:r>
      <w:r>
        <w:rPr>
          <w:rFonts w:hint="eastAsia" w:ascii="Cambria" w:hAnsi="Cambria"/>
          <w:bCs/>
          <w:sz w:val="24"/>
          <w:szCs w:val="28"/>
          <w:u w:val="single"/>
        </w:rPr>
        <w:t xml:space="preserve">   </w:t>
      </w:r>
      <w:r>
        <w:rPr>
          <w:rFonts w:hint="eastAsia" w:ascii="Cambria" w:hAnsi="Cambria"/>
          <w:bCs/>
          <w:sz w:val="24"/>
          <w:szCs w:val="28"/>
        </w:rPr>
        <w:t>万元（</w:t>
      </w:r>
      <w:r>
        <w:rPr>
          <w:rFonts w:hint="eastAsia" w:ascii="仿宋" w:hAnsi="仿宋" w:eastAsia="仿宋"/>
          <w:bCs/>
          <w:szCs w:val="28"/>
        </w:rPr>
        <w:t>从业人员、营业收入、资产总额填报上一年度数据，无上一年度数据的新成立企业可不填报</w:t>
      </w:r>
      <w:r>
        <w:rPr>
          <w:rFonts w:hint="eastAsia" w:ascii="Cambria" w:hAnsi="Cambria"/>
          <w:bCs/>
          <w:sz w:val="24"/>
          <w:szCs w:val="28"/>
        </w:rPr>
        <w:t>），资产总额为</w:t>
      </w:r>
      <w:r>
        <w:rPr>
          <w:rFonts w:hint="eastAsia" w:ascii="Cambria" w:hAnsi="Cambria"/>
          <w:bCs/>
          <w:sz w:val="24"/>
          <w:szCs w:val="28"/>
          <w:u w:val="single"/>
        </w:rPr>
        <w:t xml:space="preserve">   </w:t>
      </w:r>
      <w:r>
        <w:rPr>
          <w:rFonts w:hint="eastAsia" w:ascii="Cambria" w:hAnsi="Cambria"/>
          <w:bCs/>
          <w:sz w:val="24"/>
          <w:szCs w:val="28"/>
        </w:rPr>
        <w:t>万元，属于</w:t>
      </w:r>
      <w:r>
        <w:rPr>
          <w:rFonts w:hint="eastAsia" w:ascii="仿宋" w:hAnsi="仿宋" w:eastAsia="仿宋"/>
          <w:bCs/>
          <w:i/>
          <w:sz w:val="24"/>
          <w:szCs w:val="28"/>
          <w:u w:val="single"/>
        </w:rPr>
        <w:t>（中型企业、小型企业、微型企业）</w:t>
      </w: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以上企业，不属于大企业的分支机构，不存在控股股东为大企业的情形，也不存在与大企业的负责人为同一人的情形。</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本企业对上述声明内容的真实性负责。如有虚假，将依法承担相应责任。</w:t>
      </w:r>
    </w:p>
    <w:p>
      <w:pPr>
        <w:widowControl/>
        <w:spacing w:after="240" w:line="360" w:lineRule="auto"/>
        <w:ind w:right="480" w:firstLine="480" w:firstLineChars="200"/>
        <w:textAlignment w:val="baseline"/>
        <w:rPr>
          <w:rFonts w:ascii="Cambria" w:hAnsi="Cambria"/>
          <w:bCs/>
          <w:sz w:val="24"/>
          <w:szCs w:val="28"/>
        </w:rPr>
      </w:pPr>
      <w:r>
        <w:rPr>
          <w:rFonts w:hint="eastAsia" w:ascii="Cambria" w:hAnsi="Cambria"/>
          <w:bCs/>
          <w:sz w:val="24"/>
          <w:szCs w:val="28"/>
        </w:rPr>
        <w:t>企业名称（盖章）：</w:t>
      </w:r>
    </w:p>
    <w:p>
      <w:pPr>
        <w:widowControl/>
        <w:spacing w:after="240" w:line="360" w:lineRule="auto"/>
        <w:ind w:firstLine="480" w:firstLineChars="200"/>
        <w:jc w:val="left"/>
        <w:textAlignment w:val="baseline"/>
        <w:rPr>
          <w:rFonts w:cs="宋体" w:asciiTheme="minorEastAsia" w:hAnsiTheme="minorEastAsia"/>
          <w:kern w:val="0"/>
          <w:sz w:val="24"/>
        </w:rPr>
      </w:pPr>
      <w:r>
        <w:rPr>
          <w:rFonts w:hint="eastAsia" w:ascii="Cambria" w:hAnsi="Cambria"/>
          <w:bCs/>
          <w:sz w:val="24"/>
          <w:szCs w:val="28"/>
        </w:rPr>
        <w:t>日 期：</w:t>
      </w:r>
    </w:p>
    <w:p>
      <w:pPr>
        <w:spacing w:line="360" w:lineRule="exact"/>
        <w:rPr>
          <w:rFonts w:cs="宋体" w:asciiTheme="minorEastAsia" w:hAnsiTheme="minorEastAsia"/>
          <w:b/>
          <w:bCs/>
          <w:sz w:val="24"/>
        </w:rPr>
      </w:pPr>
      <w:r>
        <w:rPr>
          <w:rFonts w:hint="eastAsia" w:cs="宋体" w:asciiTheme="minorEastAsia" w:hAnsiTheme="minorEastAsia"/>
          <w:b/>
          <w:bCs/>
          <w:sz w:val="24"/>
        </w:rPr>
        <w:t>说明：</w:t>
      </w:r>
    </w:p>
    <w:p>
      <w:pPr>
        <w:spacing w:line="360" w:lineRule="exact"/>
        <w:rPr>
          <w:rFonts w:cs="宋体" w:asciiTheme="minorEastAsia" w:hAnsiTheme="minorEastAsia"/>
          <w:b/>
          <w:bCs/>
          <w:szCs w:val="20"/>
        </w:rPr>
      </w:pPr>
      <w:r>
        <w:rPr>
          <w:rFonts w:hint="eastAsia" w:cs="宋体" w:asciiTheme="minorEastAsia" w:hAnsiTheme="minorEastAsia"/>
          <w:b/>
          <w:bCs/>
          <w:szCs w:val="20"/>
        </w:rPr>
        <w:t>（1）从业人员、营业收入、资产总额填报上一年度数据，无上一年度数据的新成立企业可不填报。</w:t>
      </w:r>
    </w:p>
    <w:p>
      <w:pPr>
        <w:pStyle w:val="16"/>
        <w:spacing w:line="360" w:lineRule="exact"/>
        <w:rPr>
          <w:rFonts w:asciiTheme="minorEastAsia" w:hAnsiTheme="minorEastAsia"/>
          <w:b/>
          <w:bCs/>
          <w:szCs w:val="20"/>
        </w:rPr>
      </w:pPr>
      <w:r>
        <w:rPr>
          <w:rFonts w:hint="eastAsia" w:asciiTheme="minorEastAsia" w:hAnsiTheme="minorEastAsia"/>
          <w:b/>
          <w:bCs/>
          <w:szCs w:val="20"/>
        </w:rPr>
        <w:t>（</w:t>
      </w:r>
      <w:r>
        <w:rPr>
          <w:rFonts w:asciiTheme="minorEastAsia" w:hAnsiTheme="minorEastAsia"/>
          <w:b/>
          <w:bCs/>
          <w:szCs w:val="20"/>
        </w:rPr>
        <w:t>2</w:t>
      </w:r>
      <w:r>
        <w:rPr>
          <w:rFonts w:hint="eastAsia" w:asciiTheme="minorEastAsia" w:hAnsiTheme="minorEastAsia"/>
          <w:b/>
          <w:bCs/>
          <w:szCs w:val="20"/>
        </w:rPr>
        <w:t>）</w:t>
      </w:r>
      <w:r>
        <w:rPr>
          <w:rFonts w:hint="eastAsia" w:asciiTheme="minorEastAsia" w:hAnsiTheme="minorEastAsia"/>
          <w:b/>
          <w:bCs/>
          <w:kern w:val="0"/>
          <w:szCs w:val="20"/>
        </w:rPr>
        <w:t>监狱企业视同小型、微型企业，应当提供省级及以上监狱管理局、戒毒管理局（含新疆生产建设兵团）出具的属于监狱企业的证明文件</w:t>
      </w:r>
      <w:r>
        <w:rPr>
          <w:rFonts w:hint="eastAsia" w:asciiTheme="minorEastAsia" w:hAnsiTheme="minorEastAsia"/>
          <w:b/>
          <w:bCs/>
          <w:szCs w:val="20"/>
        </w:rPr>
        <w:t>。</w:t>
      </w:r>
    </w:p>
    <w:p>
      <w:pPr>
        <w:pStyle w:val="16"/>
        <w:spacing w:line="360" w:lineRule="exact"/>
        <w:rPr>
          <w:rFonts w:asciiTheme="minorEastAsia" w:hAnsiTheme="minorEastAsia"/>
          <w:b/>
          <w:bCs/>
          <w:szCs w:val="20"/>
        </w:rPr>
      </w:pPr>
      <w:r>
        <w:rPr>
          <w:rFonts w:hint="eastAsia" w:asciiTheme="minorEastAsia" w:hAnsiTheme="minorEastAsia"/>
          <w:b/>
          <w:bCs/>
          <w:kern w:val="0"/>
          <w:szCs w:val="20"/>
        </w:rPr>
        <w:t>（</w:t>
      </w:r>
      <w:r>
        <w:rPr>
          <w:rFonts w:asciiTheme="minorEastAsia" w:hAnsiTheme="minorEastAsia"/>
          <w:b/>
          <w:bCs/>
          <w:kern w:val="0"/>
          <w:szCs w:val="20"/>
        </w:rPr>
        <w:t>3</w:t>
      </w:r>
      <w:r>
        <w:rPr>
          <w:rFonts w:hint="eastAsia" w:asciiTheme="minorEastAsia" w:hAnsiTheme="minorEastAsia"/>
          <w:b/>
          <w:bCs/>
          <w:kern w:val="0"/>
          <w:szCs w:val="20"/>
        </w:rPr>
        <w:t>）本采购标的所属行业为</w:t>
      </w:r>
      <w:r>
        <w:rPr>
          <w:rFonts w:hint="eastAsia" w:asciiTheme="minorEastAsia" w:hAnsiTheme="minorEastAsia"/>
          <w:b/>
          <w:bCs/>
          <w:kern w:val="0"/>
          <w:szCs w:val="20"/>
          <w:u w:val="single"/>
        </w:rPr>
        <w:t>工业</w:t>
      </w:r>
      <w:r>
        <w:rPr>
          <w:rFonts w:hint="eastAsia" w:asciiTheme="minorEastAsia" w:hAnsiTheme="minorEastAsia"/>
          <w:b/>
          <w:bCs/>
          <w:kern w:val="0"/>
          <w:szCs w:val="20"/>
        </w:rPr>
        <w:t>。</w:t>
      </w:r>
    </w:p>
    <w:bookmarkEnd w:id="71"/>
    <w:p>
      <w:pPr>
        <w:widowControl/>
        <w:jc w:val="left"/>
        <w:rPr>
          <w:rFonts w:asciiTheme="majorHAnsi" w:hAnsiTheme="majorHAnsi" w:eastAsiaTheme="majorEastAsia" w:cstheme="majorBidi"/>
          <w:b/>
          <w:bCs/>
          <w:sz w:val="24"/>
          <w:szCs w:val="28"/>
        </w:rPr>
      </w:pPr>
      <w:r>
        <w:rPr>
          <w:sz w:val="24"/>
        </w:rPr>
        <w:br w:type="page"/>
      </w:r>
    </w:p>
    <w:p>
      <w:pPr>
        <w:pStyle w:val="6"/>
        <w:spacing w:before="0" w:after="0"/>
        <w:jc w:val="center"/>
        <w:rPr>
          <w:sz w:val="24"/>
        </w:rPr>
      </w:pPr>
      <w:r>
        <w:rPr>
          <w:rFonts w:hint="eastAsia"/>
          <w:sz w:val="24"/>
        </w:rPr>
        <w:t>2.残疾人福利性单位声明函</w:t>
      </w:r>
    </w:p>
    <w:p>
      <w:pPr>
        <w:spacing w:line="480" w:lineRule="auto"/>
        <w:ind w:firstLine="720" w:firstLineChars="300"/>
        <w:rPr>
          <w:rFonts w:cs="宋体" w:asciiTheme="minorEastAsia" w:hAnsiTheme="minorEastAsia"/>
          <w:sz w:val="24"/>
          <w:szCs w:val="21"/>
        </w:rPr>
      </w:pPr>
      <w:r>
        <w:rPr>
          <w:rFonts w:hint="eastAsia" w:cs="宋体" w:asciiTheme="minorEastAsia" w:hAnsiTheme="minorEastAsia"/>
          <w:sz w:val="24"/>
        </w:rPr>
        <w:t>本单位郑重声明，根据《财政部 民政部 中国残疾人联合会关于促进残疾人就业政府采购政策的通知》（财库〔2017〕14</w:t>
      </w:r>
      <w:r>
        <w:rPr>
          <w:rFonts w:cs="宋体" w:asciiTheme="minorEastAsia" w:hAnsiTheme="minorEastAsia"/>
          <w:sz w:val="24"/>
        </w:rPr>
        <w:t>1</w:t>
      </w:r>
      <w:r>
        <w:rPr>
          <w:rFonts w:hint="eastAsia" w:cs="宋体" w:asciiTheme="minorEastAsia" w:hAnsiTheme="minorEastAsia"/>
          <w:sz w:val="24"/>
        </w:rPr>
        <w:t>号）的规定，本单位为符合条件的残疾人福利性单位，且本单位参加</w:t>
      </w:r>
      <w:r>
        <w:rPr>
          <w:rFonts w:hint="eastAsia" w:cs="宋体" w:asciiTheme="minorEastAsia" w:hAnsiTheme="minorEastAsia"/>
          <w:sz w:val="24"/>
          <w:u w:val="single"/>
        </w:rPr>
        <w:t xml:space="preserve">     </w:t>
      </w:r>
      <w:r>
        <w:rPr>
          <w:rFonts w:hint="eastAsia" w:cs="宋体" w:asciiTheme="minorEastAsia" w:hAnsiTheme="minorEastAsia"/>
          <w:sz w:val="24"/>
        </w:rPr>
        <w:t xml:space="preserve">单位的 </w:t>
      </w:r>
      <w:r>
        <w:rPr>
          <w:rFonts w:hint="eastAsia" w:cs="宋体" w:asciiTheme="minorEastAsia" w:hAnsiTheme="minorEastAsia"/>
          <w:sz w:val="24"/>
          <w:u w:val="single"/>
        </w:rPr>
        <w:t xml:space="preserve">              </w:t>
      </w:r>
      <w:r>
        <w:rPr>
          <w:rFonts w:hint="eastAsia" w:cs="宋体" w:asciiTheme="minorEastAsia" w:hAnsiTheme="minorEastAsia"/>
          <w:sz w:val="24"/>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rPr>
      </w:pPr>
      <w:r>
        <w:rPr>
          <w:rFonts w:hint="eastAsia" w:cs="宋体" w:asciiTheme="minorEastAsia" w:hAnsiTheme="minorEastAsia"/>
          <w:sz w:val="24"/>
        </w:rPr>
        <w:t>本单位对上述声明的真实性负责。如有虚假，将依法承担相应责任。</w:t>
      </w:r>
    </w:p>
    <w:p>
      <w:pPr>
        <w:spacing w:line="480" w:lineRule="auto"/>
        <w:jc w:val="right"/>
        <w:rPr>
          <w:rFonts w:cs="宋体" w:asciiTheme="minorEastAsia" w:hAnsiTheme="minorEastAsia"/>
          <w:sz w:val="24"/>
        </w:rPr>
      </w:pPr>
    </w:p>
    <w:p>
      <w:pPr>
        <w:spacing w:line="480" w:lineRule="auto"/>
        <w:ind w:right="210"/>
        <w:jc w:val="right"/>
        <w:rPr>
          <w:rFonts w:cs="宋体" w:asciiTheme="minorEastAsia" w:hAnsiTheme="minorEastAsia"/>
          <w:sz w:val="24"/>
        </w:rPr>
      </w:pPr>
      <w:r>
        <w:rPr>
          <w:rFonts w:hint="eastAsia" w:cs="宋体" w:asciiTheme="minorEastAsia" w:hAnsiTheme="minorEastAsia"/>
          <w:sz w:val="24"/>
        </w:rPr>
        <w:t>单位名称（</w:t>
      </w:r>
      <w:r>
        <w:rPr>
          <w:rFonts w:hint="eastAsia" w:asciiTheme="minorEastAsia" w:hAnsiTheme="minorEastAsia"/>
          <w:sz w:val="24"/>
        </w:rPr>
        <w:t>企业电子签章或公章</w:t>
      </w:r>
      <w:r>
        <w:rPr>
          <w:rFonts w:hint="eastAsia" w:cs="宋体" w:asciiTheme="minorEastAsia" w:hAnsiTheme="minorEastAsia"/>
          <w:sz w:val="24"/>
        </w:rPr>
        <w:t xml:space="preserve">）：        </w:t>
      </w:r>
    </w:p>
    <w:p>
      <w:pPr>
        <w:spacing w:line="480" w:lineRule="auto"/>
        <w:ind w:firstLine="6240" w:firstLineChars="2600"/>
        <w:rPr>
          <w:rFonts w:cs="宋体" w:asciiTheme="minorEastAsia" w:hAnsiTheme="minorEastAsia"/>
          <w:sz w:val="24"/>
        </w:rPr>
      </w:pPr>
      <w:r>
        <w:rPr>
          <w:rFonts w:hint="eastAsia" w:cs="宋体" w:asciiTheme="minorEastAsia" w:hAnsiTheme="minorEastAsia"/>
          <w:sz w:val="24"/>
        </w:rPr>
        <w:t>日  期：</w:t>
      </w:r>
    </w:p>
    <w:p>
      <w:pPr>
        <w:spacing w:line="480" w:lineRule="auto"/>
        <w:rPr>
          <w:rFonts w:cs="宋体" w:asciiTheme="minorEastAsia" w:hAnsiTheme="minorEastAsia"/>
          <w:sz w:val="24"/>
        </w:rPr>
      </w:pPr>
      <w:bookmarkStart w:id="72" w:name="_Hlk113357043"/>
      <w:r>
        <w:rPr>
          <w:rFonts w:hint="eastAsia" w:cs="宋体" w:asciiTheme="minorEastAsia" w:hAnsiTheme="minorEastAsia"/>
          <w:sz w:val="24"/>
        </w:rPr>
        <w:t>说明：</w:t>
      </w:r>
    </w:p>
    <w:p>
      <w:pPr>
        <w:spacing w:line="276" w:lineRule="auto"/>
        <w:ind w:firstLine="420" w:firstLineChars="200"/>
        <w:rPr>
          <w:rFonts w:ascii="宋体" w:hAnsi="宋体"/>
          <w:szCs w:val="21"/>
        </w:rPr>
      </w:pPr>
      <w:r>
        <w:rPr>
          <w:rFonts w:hint="eastAsia" w:ascii="宋体" w:hAnsi="宋体"/>
          <w:szCs w:val="21"/>
        </w:rPr>
        <w:t>一、享受政府采购支持政策的残疾人福利性单位应当同时满足以下条件：</w:t>
      </w:r>
    </w:p>
    <w:p>
      <w:pPr>
        <w:spacing w:line="276" w:lineRule="auto"/>
        <w:ind w:firstLine="420" w:firstLineChars="200"/>
        <w:rPr>
          <w:rFonts w:ascii="宋体" w:hAnsi="宋体"/>
          <w:szCs w:val="21"/>
        </w:rPr>
      </w:pPr>
      <w:r>
        <w:rPr>
          <w:rFonts w:hint="eastAsia" w:ascii="宋体" w:hAnsi="宋体"/>
          <w:szCs w:val="21"/>
        </w:rPr>
        <w:t>（一）安置的残疾人占本单位在职职工人数的比例不低于25%（含25%），并且安置的残疾人人数不少于10人（含10人）；</w:t>
      </w:r>
    </w:p>
    <w:p>
      <w:pPr>
        <w:spacing w:line="276" w:lineRule="auto"/>
        <w:ind w:firstLine="420" w:firstLineChars="200"/>
        <w:rPr>
          <w:rFonts w:ascii="宋体" w:hAnsi="宋体"/>
          <w:szCs w:val="21"/>
        </w:rPr>
      </w:pPr>
      <w:r>
        <w:rPr>
          <w:rFonts w:hint="eastAsia" w:ascii="宋体" w:hAnsi="宋体"/>
          <w:szCs w:val="21"/>
        </w:rPr>
        <w:t>（二）依法与安置的每位残疾人签订了一年以上（含一年）的劳动合同或服务协议；</w:t>
      </w:r>
    </w:p>
    <w:p>
      <w:pPr>
        <w:spacing w:line="276" w:lineRule="auto"/>
        <w:ind w:firstLine="420" w:firstLineChars="200"/>
        <w:rPr>
          <w:rFonts w:ascii="宋体" w:hAnsi="宋体"/>
          <w:szCs w:val="21"/>
        </w:rPr>
      </w:pPr>
      <w:r>
        <w:rPr>
          <w:rFonts w:hint="eastAsia" w:ascii="宋体" w:hAnsi="宋体"/>
          <w:szCs w:val="21"/>
        </w:rPr>
        <w:t>（三）为安置的每位残疾人按月足额缴纳了基本养老保险、基本医疗保险、失业保险、工伤保险和生育保险等社会保险费；</w:t>
      </w:r>
    </w:p>
    <w:p>
      <w:pPr>
        <w:spacing w:line="276" w:lineRule="auto"/>
        <w:ind w:firstLine="420" w:firstLineChars="200"/>
        <w:rPr>
          <w:rFonts w:ascii="宋体" w:hAnsi="宋体"/>
          <w:szCs w:val="21"/>
        </w:rPr>
      </w:pPr>
      <w:r>
        <w:rPr>
          <w:rFonts w:hint="eastAsia" w:ascii="宋体" w:hAnsi="宋体"/>
          <w:szCs w:val="21"/>
        </w:rPr>
        <w:t>（四）通过银行等金融机构向安置的每位残疾人，按月支付了不低于单位所在区县适用的经省级人民政府批准的月最低工资标准的工资；</w:t>
      </w:r>
    </w:p>
    <w:p>
      <w:pPr>
        <w:spacing w:line="276" w:lineRule="auto"/>
        <w:ind w:firstLine="420" w:firstLineChars="200"/>
        <w:rPr>
          <w:rFonts w:ascii="宋体" w:hAnsi="宋体"/>
          <w:szCs w:val="21"/>
        </w:rPr>
      </w:pPr>
      <w:r>
        <w:rPr>
          <w:rFonts w:hint="eastAsia" w:ascii="宋体" w:hAnsi="宋体"/>
          <w:szCs w:val="21"/>
        </w:rPr>
        <w:t>（五）提供本单位制造的货物、承担的工程或者服务（以下简称产品），或者提供其他残疾人福利性单位制造的货物（不包括使用非残疾人福利性单位注册商标的货物）。</w:t>
      </w:r>
    </w:p>
    <w:p>
      <w:pPr>
        <w:spacing w:line="276" w:lineRule="auto"/>
        <w:ind w:firstLine="420" w:firstLineChars="200"/>
        <w:rPr>
          <w:rFonts w:ascii="宋体" w:hAnsi="宋体"/>
          <w:szCs w:val="21"/>
        </w:rPr>
      </w:pPr>
      <w:r>
        <w:rPr>
          <w:rFonts w:hint="eastAsia" w:ascii="宋体" w:hAnsi="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76" w:lineRule="auto"/>
        <w:ind w:firstLine="422" w:firstLineChars="200"/>
        <w:rPr>
          <w:b/>
        </w:rPr>
      </w:pPr>
      <w:r>
        <w:rPr>
          <w:rFonts w:hint="eastAsia"/>
          <w:b/>
        </w:rPr>
        <w:t>注意</w:t>
      </w:r>
      <w:r>
        <w:rPr>
          <w:b/>
        </w:rPr>
        <w:t>：如果投标人不是残疾人福利性单位，则不需要提供《残疾人福利性单位声明函》。否则，因此导致虚假投标的后果由投标人自行承担。</w:t>
      </w:r>
    </w:p>
    <w:bookmarkEnd w:id="72"/>
    <w:p>
      <w:pPr>
        <w:widowControl/>
        <w:jc w:val="left"/>
        <w:rPr>
          <w:rFonts w:asciiTheme="minorEastAsia" w:hAnsiTheme="minorEastAsia"/>
        </w:rPr>
      </w:pPr>
    </w:p>
    <w:p>
      <w:pPr>
        <w:pStyle w:val="5"/>
        <w:spacing w:before="0" w:after="0"/>
        <w:jc w:val="center"/>
        <w:rPr>
          <w:sz w:val="28"/>
        </w:rPr>
      </w:pPr>
      <w:bookmarkStart w:id="73" w:name="_Toc143350545"/>
      <w:r>
        <w:rPr>
          <w:rFonts w:hint="eastAsia"/>
          <w:sz w:val="28"/>
        </w:rPr>
        <w:t>十、</w:t>
      </w:r>
      <w:bookmarkStart w:id="74" w:name="_Toc83283834"/>
      <w:r>
        <w:rPr>
          <w:rFonts w:hint="eastAsia"/>
          <w:sz w:val="28"/>
        </w:rPr>
        <w:t>政府强制采购的节能产品证明资料（如采购范围内不包含的可不提供）</w:t>
      </w:r>
      <w:bookmarkEnd w:id="73"/>
      <w:bookmarkEnd w:id="74"/>
    </w:p>
    <w:p>
      <w:pPr>
        <w:rPr>
          <w:rFonts w:asciiTheme="minorEastAsia" w:hAnsiTheme="minorEastAsia"/>
          <w:sz w:val="24"/>
        </w:rPr>
      </w:pPr>
      <w:r>
        <w:rPr>
          <w:rFonts w:asciiTheme="minorEastAsia" w:hAnsiTheme="minorEastAsia"/>
          <w:sz w:val="24"/>
        </w:rPr>
        <w:t>如有，应按照</w:t>
      </w:r>
      <w:r>
        <w:rPr>
          <w:rFonts w:hint="eastAsia" w:asciiTheme="minorEastAsia" w:hAnsiTheme="minorEastAsia"/>
          <w:sz w:val="24"/>
        </w:rPr>
        <w:t>投标人须知前附表</w:t>
      </w:r>
      <w:r>
        <w:rPr>
          <w:rFonts w:asciiTheme="minorEastAsia" w:hAnsiTheme="minorEastAsia"/>
          <w:sz w:val="24"/>
        </w:rPr>
        <w:t>第</w:t>
      </w:r>
      <w:r>
        <w:rPr>
          <w:rFonts w:hint="eastAsia" w:asciiTheme="minorEastAsia" w:hAnsiTheme="minorEastAsia"/>
          <w:sz w:val="24"/>
        </w:rPr>
        <w:t>9</w:t>
      </w:r>
      <w:r>
        <w:rPr>
          <w:rFonts w:asciiTheme="minorEastAsia" w:hAnsiTheme="minorEastAsia"/>
          <w:sz w:val="24"/>
        </w:rPr>
        <w:t>.1项有关内容，附证明资料。</w:t>
      </w:r>
    </w:p>
    <w:p>
      <w:pPr>
        <w:pStyle w:val="16"/>
        <w:ind w:firstLine="482"/>
        <w:jc w:val="center"/>
        <w:rPr>
          <w:rFonts w:hAnsi="宋体"/>
          <w:b/>
          <w:bCs/>
          <w:sz w:val="24"/>
          <w:szCs w:val="28"/>
        </w:rPr>
      </w:pPr>
      <w:r>
        <w:rPr>
          <w:rFonts w:hint="eastAsia"/>
          <w:sz w:val="28"/>
        </w:rPr>
        <w:br w:type="page"/>
      </w:r>
      <w:r>
        <w:rPr>
          <w:rFonts w:hint="eastAsia"/>
          <w:b/>
          <w:bCs/>
          <w:sz w:val="24"/>
          <w:szCs w:val="28"/>
        </w:rPr>
        <w:t>强制节能产品见附件中标</w:t>
      </w:r>
      <w:r>
        <w:rPr>
          <w:rFonts w:hint="eastAsia" w:hAnsi="宋体"/>
          <w:b/>
          <w:bCs/>
          <w:sz w:val="24"/>
          <w:szCs w:val="28"/>
        </w:rPr>
        <w:t>★产品</w:t>
      </w:r>
    </w:p>
    <w:p>
      <w:pPr>
        <w:pStyle w:val="16"/>
      </w:pPr>
      <w:r>
        <w:rPr>
          <w:rFonts w:hint="eastAsia"/>
        </w:rPr>
        <w:drawing>
          <wp:inline distT="0" distB="0" distL="114300" distR="114300">
            <wp:extent cx="5624830" cy="5995670"/>
            <wp:effectExtent l="0" t="0" r="4445"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lum/>
                    </a:blip>
                    <a:stretch>
                      <a:fillRect/>
                    </a:stretch>
                  </pic:blipFill>
                  <pic:spPr>
                    <a:xfrm>
                      <a:off x="0" y="0"/>
                      <a:ext cx="5624830" cy="599567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8">
                      <a:lum/>
                    </a:blip>
                    <a:stretch>
                      <a:fillRect/>
                    </a:stretch>
                  </pic:blipFill>
                  <pic:spPr>
                    <a:xfrm>
                      <a:off x="0" y="0"/>
                      <a:ext cx="5274310" cy="745871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lum/>
                    </a:blip>
                    <a:stretch>
                      <a:fillRect/>
                    </a:stretch>
                  </pic:blipFill>
                  <pic:spPr>
                    <a:xfrm>
                      <a:off x="0" y="0"/>
                      <a:ext cx="5274310" cy="745871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lum/>
                    </a:blip>
                    <a:stretch>
                      <a:fillRect/>
                    </a:stretch>
                  </pic:blipFill>
                  <pic:spPr>
                    <a:xfrm>
                      <a:off x="0" y="0"/>
                      <a:ext cx="5274310" cy="7458710"/>
                    </a:xfrm>
                    <a:prstGeom prst="rect">
                      <a:avLst/>
                    </a:prstGeom>
                    <a:noFill/>
                    <a:ln>
                      <a:noFill/>
                    </a:ln>
                  </pic:spPr>
                </pic:pic>
              </a:graphicData>
            </a:graphic>
          </wp:inline>
        </w:drawing>
      </w:r>
    </w:p>
    <w:p>
      <w:pPr>
        <w:widowControl/>
        <w:jc w:val="left"/>
        <w:rPr>
          <w:rFonts w:ascii="宋体" w:hAnsi="宋体"/>
        </w:rPr>
      </w:pPr>
      <w:r>
        <w:rPr>
          <w:rFonts w:ascii="宋体" w:hAnsi="宋体"/>
        </w:rPr>
        <w:br w:type="page"/>
      </w:r>
    </w:p>
    <w:p>
      <w:pPr>
        <w:pStyle w:val="5"/>
        <w:spacing w:before="0" w:after="0"/>
        <w:jc w:val="center"/>
        <w:rPr>
          <w:sz w:val="28"/>
        </w:rPr>
      </w:pPr>
      <w:bookmarkStart w:id="75" w:name="_Toc143350546"/>
      <w:r>
        <w:rPr>
          <w:rFonts w:hint="eastAsia"/>
          <w:sz w:val="28"/>
        </w:rPr>
        <w:t>十一、投标人认为需要提供的其他资料</w:t>
      </w:r>
      <w:bookmarkEnd w:id="75"/>
    </w:p>
    <w:p>
      <w:pPr>
        <w:widowControl/>
        <w:jc w:val="left"/>
        <w:rPr>
          <w:rFonts w:asciiTheme="minorEastAsia" w:hAnsiTheme="minorEastAsia"/>
        </w:rPr>
      </w:pPr>
      <w:r>
        <w:rPr>
          <w:rFonts w:asciiTheme="minorEastAsia" w:hAnsiTheme="minorEastAsia"/>
        </w:rPr>
        <w:br w:type="page"/>
      </w:r>
    </w:p>
    <w:p>
      <w:pPr>
        <w:pStyle w:val="3"/>
        <w:numPr>
          <w:ilvl w:val="0"/>
          <w:numId w:val="10"/>
        </w:numPr>
        <w:spacing w:before="0" w:after="0"/>
        <w:jc w:val="center"/>
        <w:rPr>
          <w:rFonts w:asciiTheme="minorEastAsia" w:hAnsiTheme="minorEastAsia"/>
          <w:sz w:val="32"/>
        </w:rPr>
      </w:pPr>
      <w:bookmarkStart w:id="76" w:name="_Toc143350547"/>
      <w:r>
        <w:rPr>
          <w:rFonts w:hint="eastAsia" w:asciiTheme="minorEastAsia" w:hAnsiTheme="minorEastAsia"/>
          <w:sz w:val="32"/>
        </w:rPr>
        <w:t>采购需求</w:t>
      </w:r>
      <w:bookmarkEnd w:id="76"/>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1288"/>
        <w:gridCol w:w="5205"/>
        <w:gridCol w:w="638"/>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755"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货物名称</w:t>
            </w:r>
          </w:p>
        </w:tc>
        <w:tc>
          <w:tcPr>
            <w:tcW w:w="3052"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规格标准</w:t>
            </w:r>
          </w:p>
        </w:tc>
        <w:tc>
          <w:tcPr>
            <w:tcW w:w="374"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单位</w:t>
            </w:r>
          </w:p>
        </w:tc>
        <w:tc>
          <w:tcPr>
            <w:tcW w:w="445"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一</w:t>
            </w:r>
          </w:p>
        </w:tc>
        <w:tc>
          <w:tcPr>
            <w:tcW w:w="755" w:type="pct"/>
            <w:shd w:val="clear" w:color="auto" w:fill="auto"/>
            <w:vAlign w:val="center"/>
          </w:tcPr>
          <w:p>
            <w:pPr>
              <w:widowControl/>
              <w:spacing w:line="300" w:lineRule="auto"/>
              <w:jc w:val="center"/>
              <w:rPr>
                <w:rFonts w:ascii="宋体" w:hAnsi="宋体" w:eastAsia="宋体" w:cs="宋体"/>
                <w:b/>
                <w:bCs/>
                <w:kern w:val="0"/>
                <w:szCs w:val="21"/>
              </w:rPr>
            </w:pPr>
          </w:p>
        </w:tc>
        <w:tc>
          <w:tcPr>
            <w:tcW w:w="3052" w:type="pct"/>
            <w:shd w:val="clear" w:color="auto" w:fill="auto"/>
            <w:vAlign w:val="center"/>
          </w:tcPr>
          <w:p>
            <w:pPr>
              <w:widowControl/>
              <w:spacing w:line="300" w:lineRule="auto"/>
              <w:jc w:val="center"/>
              <w:rPr>
                <w:rFonts w:ascii="宋体" w:hAnsi="宋体" w:eastAsia="宋体" w:cs="宋体"/>
                <w:b/>
                <w:szCs w:val="21"/>
              </w:rPr>
            </w:pPr>
            <w:r>
              <w:rPr>
                <w:rFonts w:hint="eastAsia" w:ascii="宋体" w:hAnsi="宋体" w:eastAsia="宋体" w:cs="宋体"/>
                <w:b/>
                <w:szCs w:val="21"/>
              </w:rPr>
              <w:t>生物实验室</w:t>
            </w:r>
          </w:p>
          <w:p>
            <w:pPr>
              <w:spacing w:line="480" w:lineRule="exact"/>
              <w:rPr>
                <w:rFonts w:ascii="宋体" w:hAnsi="宋体" w:eastAsia="宋体" w:cs="宋体"/>
                <w:szCs w:val="21"/>
              </w:rPr>
            </w:pPr>
            <w:r>
              <w:rPr>
                <w:rFonts w:hint="eastAsia" w:ascii="宋体" w:hAnsi="宋体" w:eastAsia="宋体" w:cs="宋体"/>
                <w:color w:val="000000"/>
                <w:kern w:val="0"/>
                <w:szCs w:val="21"/>
              </w:rPr>
              <w:t>★投标人需提供吊顶安装可升降集成系统（标准型）产品外观、部件、机械性安全、智能控制电器柜防电击、安装结构、功能、接地电阻、管道符合国家标准规范的检测报告复印件。</w:t>
            </w:r>
          </w:p>
        </w:tc>
        <w:tc>
          <w:tcPr>
            <w:tcW w:w="374" w:type="pct"/>
            <w:shd w:val="clear" w:color="auto" w:fill="auto"/>
            <w:vAlign w:val="center"/>
          </w:tcPr>
          <w:p>
            <w:pPr>
              <w:widowControl/>
              <w:spacing w:line="300" w:lineRule="auto"/>
              <w:jc w:val="center"/>
              <w:rPr>
                <w:rFonts w:ascii="宋体" w:hAnsi="宋体" w:eastAsia="宋体" w:cs="宋体"/>
                <w:b/>
                <w:bCs/>
                <w:kern w:val="0"/>
                <w:szCs w:val="21"/>
              </w:rPr>
            </w:pPr>
          </w:p>
        </w:tc>
        <w:tc>
          <w:tcPr>
            <w:tcW w:w="445" w:type="pct"/>
            <w:shd w:val="clear" w:color="auto" w:fill="auto"/>
            <w:vAlign w:val="center"/>
          </w:tcPr>
          <w:p>
            <w:pPr>
              <w:widowControl/>
              <w:spacing w:line="300" w:lineRule="auto"/>
              <w:jc w:val="center"/>
              <w:rPr>
                <w:rFonts w:ascii="宋体" w:hAnsi="宋体" w:eastAsia="宋体" w:cs="宋体"/>
                <w:b/>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生物教师演讲台</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规格:≥2400*700*900mm</w:t>
            </w:r>
            <w:r>
              <w:rPr>
                <w:rFonts w:hint="eastAsia" w:ascii="宋体" w:hAnsi="宋体" w:eastAsia="宋体" w:cs="宋体"/>
                <w:kern w:val="0"/>
                <w:szCs w:val="21"/>
              </w:rPr>
              <w:br w:type="textWrapping"/>
            </w:r>
            <w:r>
              <w:rPr>
                <w:rFonts w:hint="eastAsia" w:ascii="宋体" w:hAnsi="宋体" w:eastAsia="宋体" w:cs="宋体"/>
                <w:kern w:val="0"/>
                <w:szCs w:val="21"/>
              </w:rPr>
              <w:t>1.全木结构；</w:t>
            </w:r>
            <w:r>
              <w:rPr>
                <w:rFonts w:hint="eastAsia" w:ascii="宋体" w:hAnsi="宋体" w:eastAsia="宋体" w:cs="宋体"/>
                <w:kern w:val="0"/>
                <w:szCs w:val="21"/>
              </w:rPr>
              <w:br w:type="textWrapping"/>
            </w:r>
            <w:r>
              <w:rPr>
                <w:rFonts w:hint="eastAsia" w:ascii="宋体" w:hAnsi="宋体" w:eastAsia="宋体" w:cs="宋体"/>
                <w:kern w:val="0"/>
                <w:szCs w:val="21"/>
              </w:rPr>
              <w:t>2.面板:采用≥12.7mm厚双面膜耐腐蚀实芯理化板制作，四角倒≥R15圆角。耐酸、耐碱、耐高温，坚固耐用，防潮、无细孔、不膨胀、不龟裂、不变形、不导电、便于维护及具有良好的承重性能；</w:t>
            </w:r>
            <w:r>
              <w:rPr>
                <w:rFonts w:hint="eastAsia" w:ascii="宋体" w:hAnsi="宋体" w:eastAsia="宋体" w:cs="宋体"/>
                <w:kern w:val="0"/>
                <w:szCs w:val="21"/>
              </w:rPr>
              <w:br w:type="textWrapping"/>
            </w:r>
            <w:r>
              <w:rPr>
                <w:rFonts w:hint="eastAsia" w:ascii="宋体" w:hAnsi="宋体" w:eastAsia="宋体" w:cs="宋体"/>
                <w:kern w:val="0"/>
                <w:szCs w:val="21"/>
              </w:rPr>
              <w:t>3.柜身:采用E1级环保型三聚氰胺板制作，可见截面均经过PVC封边；整体结构设计合理，预留电脑主机、键盘托、实物展台、教师电源位置。</w:t>
            </w:r>
            <w:r>
              <w:rPr>
                <w:rFonts w:hint="eastAsia" w:ascii="宋体" w:hAnsi="宋体" w:eastAsia="宋体" w:cs="宋体"/>
                <w:kern w:val="0"/>
                <w:szCs w:val="21"/>
              </w:rPr>
              <w:br w:type="textWrapping"/>
            </w:r>
            <w:r>
              <w:rPr>
                <w:rFonts w:hint="eastAsia" w:ascii="宋体" w:hAnsi="宋体" w:eastAsia="宋体" w:cs="宋体"/>
                <w:kern w:val="0"/>
                <w:szCs w:val="21"/>
              </w:rPr>
              <w:t>4.防腐三节静音导轨:采用优质品牌三节静音滑轨；</w:t>
            </w:r>
            <w:r>
              <w:rPr>
                <w:rFonts w:hint="eastAsia" w:ascii="宋体" w:hAnsi="宋体" w:eastAsia="宋体" w:cs="宋体"/>
                <w:kern w:val="0"/>
                <w:szCs w:val="21"/>
              </w:rPr>
              <w:br w:type="textWrapping"/>
            </w:r>
            <w:r>
              <w:rPr>
                <w:rFonts w:hint="eastAsia" w:ascii="宋体" w:hAnsi="宋体" w:eastAsia="宋体" w:cs="宋体"/>
                <w:kern w:val="0"/>
                <w:szCs w:val="21"/>
              </w:rPr>
              <w:t>5.铰链:采用知名品牌大弯铰链，开合十万次以上；</w:t>
            </w:r>
            <w:r>
              <w:rPr>
                <w:rFonts w:hint="eastAsia" w:ascii="宋体" w:hAnsi="宋体" w:eastAsia="宋体" w:cs="宋体"/>
                <w:kern w:val="0"/>
                <w:szCs w:val="21"/>
              </w:rPr>
              <w:br w:type="textWrapping"/>
            </w:r>
            <w:r>
              <w:rPr>
                <w:rFonts w:hint="eastAsia" w:ascii="宋体" w:hAnsi="宋体" w:eastAsia="宋体" w:cs="宋体"/>
                <w:kern w:val="0"/>
                <w:szCs w:val="21"/>
              </w:rPr>
              <w:t>6.耐腐蚀连接件:ABS专用连接组装件；</w:t>
            </w:r>
            <w:r>
              <w:rPr>
                <w:rFonts w:hint="eastAsia" w:ascii="宋体" w:hAnsi="宋体" w:eastAsia="宋体" w:cs="宋体"/>
                <w:kern w:val="0"/>
                <w:szCs w:val="21"/>
              </w:rPr>
              <w:br w:type="textWrapping"/>
            </w:r>
            <w:r>
              <w:rPr>
                <w:rFonts w:hint="eastAsia" w:ascii="宋体" w:hAnsi="宋体" w:eastAsia="宋体" w:cs="宋体"/>
                <w:kern w:val="0"/>
                <w:szCs w:val="21"/>
              </w:rPr>
              <w:t>7.桌脚:采用ABS注塑专用桌垫固定；</w:t>
            </w:r>
            <w:r>
              <w:rPr>
                <w:rFonts w:hint="eastAsia" w:ascii="宋体" w:hAnsi="宋体" w:eastAsia="宋体" w:cs="宋体"/>
                <w:kern w:val="0"/>
                <w:szCs w:val="21"/>
              </w:rPr>
              <w:br w:type="textWrapping"/>
            </w:r>
            <w:r>
              <w:rPr>
                <w:rFonts w:hint="eastAsia" w:ascii="宋体" w:hAnsi="宋体" w:eastAsia="宋体" w:cs="宋体"/>
                <w:kern w:val="0"/>
                <w:szCs w:val="21"/>
              </w:rPr>
              <w:t>8.防撞胶垫:采用橡胶材质，装于抽屉及门板内侧，减缓碰撞，保护柜体；</w:t>
            </w:r>
            <w:r>
              <w:rPr>
                <w:rFonts w:hint="eastAsia" w:ascii="宋体" w:hAnsi="宋体" w:eastAsia="宋体" w:cs="宋体"/>
                <w:kern w:val="0"/>
                <w:szCs w:val="21"/>
              </w:rPr>
              <w:br w:type="textWrapping"/>
            </w:r>
            <w:r>
              <w:rPr>
                <w:rFonts w:hint="eastAsia" w:ascii="宋体" w:hAnsi="宋体" w:eastAsia="宋体" w:cs="宋体"/>
                <w:kern w:val="0"/>
                <w:szCs w:val="21"/>
              </w:rPr>
              <w:t>9.其他:台面装置教师电源主控台，预留多媒体设备（电脑；实物展台、DVD）等设备位置。</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生物学生实验桌</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规格:≥1200×600×780mm</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台面:一体化陶瓷台面，台面经过上釉工艺处理，具有耐高温、耐刻刮、防静电、耐腐蚀、防垢易清洁、防霉、防水等最佳物理性能和化学性能，四周边缘采用≥35mm厚工程塑料一体注塑成型进行包边，减少桌体间机械碰撞，前沿设≥50mm高挡水边，可有效阻挡仪器滑落。</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 xml:space="preserve">台面参数: </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吸水率≤0.5%</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断裂模数≥35.0MPa</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破坏强度≥1300N</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耐污染性不低于3级</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耐磨性不低于4级2000转</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耐冲击性≥0.75</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放射性 A类≤1.0</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压缩强度≥130MPa</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表面耐划痕≥1级</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洛氏硬度≥50.0HRC</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耐化学腐蚀性:98%硫酸、65%硝酸、37%盐酸、80%磷酸、乙酸、40%氢氧化钾、40%氢氧化钠、10%双氧水、氯苯、四氯化碳、37%甲醛等试剂/溶液测试表面无明显变化。</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桌体:新钢塑镂空结构（工字形）</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桌脚:内置承重部分采用≥60×40×1.6mm矩形铝镁合金，横档采用≥30×40×1.6mm矩形铝镁合金，通过合金压铸角铁组装成“工”字形（使整体框架结构更为合理，增强桌体承重性及整体稳定性）；外置装饰柱、装饰盖均采用ABS工程塑料一次注塑成型，外表为流线形设计，具有防潮、防水、防腐、防酸碱功能。</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书包盒:规格:≥425*305*110mm（每组2个），采用ABS工程塑料一次注塑成型，预留学生凳挂靠口；固定横梁采用≥30*30*1.2mm矩形钢构件，书包挂架采用≥20*30*1.2mm矩形钢构件，钢构件表面经酸洗、磷化、喷塑处理，框架横梁与桌脚之间均采用PC＋ABS工程塑料合金连插件连接。</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吊板:采用≥2mm厚冷轧钢板折弯成型，表面经酸洗、磷化、喷塑处理，吊板离地≥550mm（每组桌除两侧的桌腿外，整个下面是镂空的，便于打扫卫生）。</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可调脚:采用进口ABS耐蚀注塑专用垫。具有高度可调、耐磨、防潮、耐腐蚀等特点。</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学生实验凳</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1、产品规格:凳面直径≥320mm，高度380-480mm（高度可调）；</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2、技术参数:凳面采用≥3mm厚聚丙烯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★投标人需提供所投产品“学生实验凳”塑料件、外观、金属涂层、稳定性、金属件及金属涂层耐盐雾、坐面耐久性等均符合QB/T2280标准的检测报告。</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4</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智能控制电气柜</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 xml:space="preserve">规格:≥680×400×1770mm </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智能控制柜内置总电源开关1个，电源保护器1个，PLC控制器及功能扩展模块1套，PLC专用电源1个，PLC保护模块1个、急停控制系统1个，工作指示灯1个，分组控制系统。</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（1）电源控制系统:PLC智能化控制系统集中控制，可分组控制AC220V电源，具有过载、短路等保护功能；</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（2）照明控制系统:PLC智能化控制系统集中控制，可分组控制日光灯，具有过载、短路等保护功能；</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3）给排水控制系统:给水系统:设有总给水控制阀门，教师可以方便对全室供水系统进行控制，操作面板设计给水接口，接口与多功能移动水槽台采用优质PVC软管连接，接口均采用自动锁紧插拔式连接方式，用时接上，不用时可收起。自动排水系统:所有排水由智能化控制系统集中控制，操作面板设计排水接口，接口与多功能移动水槽台采用优质PVC软管（具有防酸、防碱、耐腐蚀功能）连接，接口均采用自动锁紧插拔式连接方式（拔掉时没有污水流出），用时接上，不用时可收起。</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（4）摇臂自动控制系统:系统集中控制教室摇臂功能。</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（5）远程控制系统:可实现APP远程控制。</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★（6）电气控制通用要求:符合GB 4793.1《测量、控制和实验室用电气设备的安全要求第1部分:通用要求》。（投标人需提供符合该标准要求的检测报告，检测内容包含保护连接、电压试验、与电网电源的连接和设备零部件之间的连接、供电电源的断开。）</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控制面板</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★≥7寸触摸屏，集中控制系统。可执行各分项分页控制.</w:t>
            </w:r>
            <w:r>
              <w:rPr>
                <w:rFonts w:hint="eastAsia" w:ascii="宋体" w:hAnsi="宋体" w:eastAsia="宋体" w:cs="宋体"/>
                <w:kern w:val="0"/>
                <w:szCs w:val="21"/>
              </w:rPr>
              <w:br w:type="textWrapping"/>
            </w:r>
            <w:r>
              <w:rPr>
                <w:rFonts w:hint="eastAsia" w:ascii="宋体" w:hAnsi="宋体" w:eastAsia="宋体" w:cs="宋体"/>
                <w:kern w:val="0"/>
                <w:szCs w:val="21"/>
              </w:rPr>
              <w:t>（1）供水控制:可实现远程集中控制整室给排水。</w:t>
            </w:r>
            <w:r>
              <w:rPr>
                <w:rFonts w:hint="eastAsia" w:ascii="宋体" w:hAnsi="宋体" w:eastAsia="宋体" w:cs="宋体"/>
                <w:kern w:val="0"/>
                <w:szCs w:val="21"/>
              </w:rPr>
              <w:br w:type="textWrapping"/>
            </w:r>
            <w:r>
              <w:rPr>
                <w:rFonts w:hint="eastAsia" w:ascii="宋体" w:hAnsi="宋体" w:eastAsia="宋体" w:cs="宋体"/>
                <w:kern w:val="0"/>
                <w:szCs w:val="21"/>
              </w:rPr>
              <w:t>（2）照明控制:可实现远程分组控制整室照明。</w:t>
            </w:r>
            <w:r>
              <w:rPr>
                <w:rFonts w:hint="eastAsia" w:ascii="宋体" w:hAnsi="宋体" w:eastAsia="宋体" w:cs="宋体"/>
                <w:kern w:val="0"/>
                <w:szCs w:val="21"/>
              </w:rPr>
              <w:br w:type="textWrapping"/>
            </w:r>
            <w:r>
              <w:rPr>
                <w:rFonts w:hint="eastAsia" w:ascii="宋体" w:hAnsi="宋体" w:eastAsia="宋体" w:cs="宋体"/>
                <w:kern w:val="0"/>
                <w:szCs w:val="21"/>
              </w:rPr>
              <w:t>（3）电源控制:可实现远程分组控制学生高低压电源。</w:t>
            </w:r>
            <w:r>
              <w:rPr>
                <w:rFonts w:hint="eastAsia" w:ascii="宋体" w:hAnsi="宋体" w:eastAsia="宋体" w:cs="宋体"/>
                <w:kern w:val="0"/>
                <w:szCs w:val="21"/>
              </w:rPr>
              <w:br w:type="textWrapping"/>
            </w:r>
            <w:r>
              <w:rPr>
                <w:rFonts w:hint="eastAsia" w:ascii="宋体" w:hAnsi="宋体" w:eastAsia="宋体" w:cs="宋体"/>
                <w:kern w:val="0"/>
                <w:szCs w:val="21"/>
              </w:rPr>
              <w:t>（4）摇臂控制:可实现远程控制摇臂升降机构。</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远程控制系统</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A、使用APP账户密码登入系统操作，便于老师使用与管理。</w:t>
            </w:r>
            <w:r>
              <w:rPr>
                <w:rFonts w:hint="eastAsia" w:ascii="宋体" w:hAnsi="宋体" w:eastAsia="宋体" w:cs="宋体"/>
                <w:kern w:val="0"/>
                <w:szCs w:val="21"/>
              </w:rPr>
              <w:br w:type="textWrapping"/>
            </w:r>
            <w:r>
              <w:rPr>
                <w:rFonts w:hint="eastAsia" w:ascii="宋体" w:hAnsi="宋体" w:eastAsia="宋体" w:cs="宋体"/>
                <w:kern w:val="0"/>
                <w:szCs w:val="21"/>
              </w:rPr>
              <w:t>B、APP移动终端与智能控制面板界面同步显示。</w:t>
            </w:r>
            <w:r>
              <w:rPr>
                <w:rFonts w:hint="eastAsia" w:ascii="宋体" w:hAnsi="宋体" w:eastAsia="宋体" w:cs="宋体"/>
                <w:kern w:val="0"/>
                <w:szCs w:val="21"/>
              </w:rPr>
              <w:br w:type="textWrapping"/>
            </w:r>
            <w:r>
              <w:rPr>
                <w:rFonts w:hint="eastAsia" w:ascii="宋体" w:hAnsi="宋体" w:eastAsia="宋体" w:cs="宋体"/>
                <w:kern w:val="0"/>
                <w:szCs w:val="21"/>
              </w:rPr>
              <w:t xml:space="preserve">C、使用APP移动终端可实现远程集中控制给排水功能。 </w:t>
            </w:r>
            <w:r>
              <w:rPr>
                <w:rFonts w:hint="eastAsia" w:ascii="宋体" w:hAnsi="宋体" w:eastAsia="宋体" w:cs="宋体"/>
                <w:kern w:val="0"/>
                <w:szCs w:val="21"/>
              </w:rPr>
              <w:br w:type="textWrapping"/>
            </w:r>
            <w:r>
              <w:rPr>
                <w:rFonts w:hint="eastAsia" w:ascii="宋体" w:hAnsi="宋体" w:eastAsia="宋体" w:cs="宋体"/>
                <w:kern w:val="0"/>
                <w:szCs w:val="21"/>
              </w:rPr>
              <w:t xml:space="preserve">D、使用APP移动终端可实现远程电源控制。 </w:t>
            </w:r>
            <w:r>
              <w:rPr>
                <w:rFonts w:hint="eastAsia" w:ascii="宋体" w:hAnsi="宋体" w:eastAsia="宋体" w:cs="宋体"/>
                <w:kern w:val="0"/>
                <w:szCs w:val="21"/>
              </w:rPr>
              <w:br w:type="textWrapping"/>
            </w:r>
            <w:r>
              <w:rPr>
                <w:rFonts w:hint="eastAsia" w:ascii="宋体" w:hAnsi="宋体" w:eastAsia="宋体" w:cs="宋体"/>
                <w:kern w:val="0"/>
                <w:szCs w:val="21"/>
              </w:rPr>
              <w:t xml:space="preserve">E、使用APP移动终端可实现远程控制摇臂升降功能。                                        </w:t>
            </w:r>
            <w:r>
              <w:rPr>
                <w:rFonts w:hint="eastAsia" w:ascii="宋体" w:hAnsi="宋体" w:eastAsia="宋体" w:cs="宋体"/>
                <w:kern w:val="0"/>
                <w:szCs w:val="21"/>
              </w:rPr>
              <w:br w:type="textWrapping"/>
            </w:r>
            <w:r>
              <w:rPr>
                <w:rFonts w:hint="eastAsia" w:ascii="宋体" w:hAnsi="宋体" w:eastAsia="宋体" w:cs="宋体"/>
                <w:kern w:val="0"/>
                <w:szCs w:val="21"/>
              </w:rPr>
              <w:t>PC机通过网络连接可实现智能控制柜操作，并能实现移动设备、触摸屏、教师一体机的同步交互控制。</w:t>
            </w:r>
            <w:r>
              <w:rPr>
                <w:rFonts w:hint="eastAsia" w:ascii="宋体" w:hAnsi="宋体" w:eastAsia="宋体" w:cs="宋体"/>
                <w:kern w:val="0"/>
                <w:szCs w:val="21"/>
              </w:rPr>
              <w:br w:type="textWrapping"/>
            </w:r>
            <w:r>
              <w:rPr>
                <w:rFonts w:hint="eastAsia" w:ascii="宋体" w:hAnsi="宋体" w:eastAsia="宋体" w:cs="宋体"/>
                <w:kern w:val="0"/>
                <w:szCs w:val="21"/>
              </w:rPr>
              <w:t>接收智能化控制系统控制，功能面板采用200×600mmABS工程塑料注塑成型，内部安装镜面铝板反光罩及阻燃ABS一次成型灯架，配置T5日光灯2根，每根7W，设计安装磨砂均光板，不仅能使光线扩散均匀更能起到安全防护作用。</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7</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照明光源</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接收智能化控制系统控制，功能面板采用≥200×600mmABS工程塑料注塑成型，内部安装镜面铝板反光罩及阻燃ABS一次成型灯架，配置T5日光灯2根，每根≥7W，设计安装磨砂均光板，不仅能使光线扩散均匀更能起到安全防护作用。</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8</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照明线路</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模块化设计，每组模块间采用活接式连接，方便安装、检修。采用≥2.5mm²电线进行系统布线。</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项</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9</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摇臂升降机构</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1、摇臂升降机构接受智能控制系统信号实现远程遥控，动力为24V低压减速电机，固定于专用支架，外部保护罩为ABS工程塑料。</w:t>
            </w:r>
          </w:p>
          <w:p>
            <w:pPr>
              <w:widowControl/>
              <w:spacing w:line="300" w:lineRule="auto"/>
              <w:rPr>
                <w:rFonts w:ascii="宋体" w:hAnsi="宋体" w:eastAsia="宋体" w:cs="宋体"/>
                <w:kern w:val="0"/>
                <w:szCs w:val="21"/>
              </w:rPr>
            </w:pPr>
            <w:r>
              <w:rPr>
                <w:rFonts w:hint="eastAsia" w:ascii="宋体" w:hAnsi="宋体" w:eastAsia="宋体" w:cs="宋体"/>
                <w:kern w:val="0"/>
                <w:szCs w:val="21"/>
              </w:rPr>
              <w:t>2、支撑悬臂:采用≥1.2mm厚≥70×80×420mm椭圆形铝镁合金大型模具制作而成，表面阳极氧化磨砂处理。</w:t>
            </w:r>
          </w:p>
          <w:p>
            <w:pPr>
              <w:widowControl/>
              <w:spacing w:line="300" w:lineRule="auto"/>
              <w:rPr>
                <w:rFonts w:ascii="宋体" w:hAnsi="宋体" w:eastAsia="宋体" w:cs="宋体"/>
                <w:kern w:val="0"/>
                <w:szCs w:val="21"/>
              </w:rPr>
            </w:pPr>
            <w:r>
              <w:rPr>
                <w:rFonts w:hint="eastAsia" w:ascii="宋体" w:hAnsi="宋体" w:eastAsia="宋体" w:cs="宋体"/>
                <w:kern w:val="0"/>
                <w:szCs w:val="21"/>
              </w:rPr>
              <w:t>3、功能操作模块规格（长×高×厚）:≥600×200×110mm。</w:t>
            </w:r>
          </w:p>
          <w:p>
            <w:pPr>
              <w:widowControl/>
              <w:spacing w:line="300" w:lineRule="auto"/>
              <w:rPr>
                <w:rFonts w:ascii="宋体" w:hAnsi="宋体" w:eastAsia="宋体" w:cs="宋体"/>
                <w:kern w:val="0"/>
                <w:szCs w:val="21"/>
              </w:rPr>
            </w:pPr>
            <w:r>
              <w:rPr>
                <w:rFonts w:hint="eastAsia" w:ascii="宋体" w:hAnsi="宋体" w:eastAsia="宋体" w:cs="宋体"/>
                <w:kern w:val="0"/>
                <w:szCs w:val="21"/>
              </w:rPr>
              <w:t>（1）、整体呈横向椭圆状，表面圆润防止学生磕碰.</w:t>
            </w:r>
          </w:p>
          <w:p>
            <w:pPr>
              <w:widowControl/>
              <w:spacing w:line="300" w:lineRule="auto"/>
              <w:rPr>
                <w:rFonts w:ascii="宋体" w:hAnsi="宋体" w:eastAsia="宋体" w:cs="宋体"/>
                <w:kern w:val="0"/>
                <w:szCs w:val="21"/>
              </w:rPr>
            </w:pPr>
            <w:r>
              <w:rPr>
                <w:rFonts w:hint="eastAsia" w:ascii="宋体" w:hAnsi="宋体" w:eastAsia="宋体" w:cs="宋体"/>
                <w:kern w:val="0"/>
                <w:szCs w:val="21"/>
              </w:rPr>
              <w:t>（2）、功能操作模块由正面功能操作面板和背面检修面板组成，主体均采用≥3.5mm厚ABS阻燃工程塑料一次注塑成型具有防火、防潮、防锈及防漏电功能。</w:t>
            </w:r>
          </w:p>
          <w:p>
            <w:pPr>
              <w:widowControl/>
              <w:spacing w:line="300" w:lineRule="auto"/>
              <w:rPr>
                <w:rFonts w:ascii="宋体" w:hAnsi="宋体" w:eastAsia="宋体" w:cs="宋体"/>
                <w:kern w:val="0"/>
                <w:szCs w:val="21"/>
              </w:rPr>
            </w:pPr>
            <w:r>
              <w:rPr>
                <w:rFonts w:hint="eastAsia" w:ascii="宋体" w:hAnsi="宋体" w:eastAsia="宋体" w:cs="宋体"/>
                <w:kern w:val="0"/>
                <w:szCs w:val="21"/>
              </w:rPr>
              <w:t>（3）、功能操作面板预留电源功能模块，功能模块成田字状分布方便学生使用，模块规格≥65*65mm。</w:t>
            </w:r>
          </w:p>
          <w:p>
            <w:pPr>
              <w:widowControl/>
              <w:spacing w:line="300" w:lineRule="auto"/>
              <w:rPr>
                <w:rFonts w:ascii="宋体" w:hAnsi="宋体" w:eastAsia="宋体" w:cs="宋体"/>
                <w:kern w:val="0"/>
                <w:szCs w:val="21"/>
              </w:rPr>
            </w:pPr>
            <w:r>
              <w:rPr>
                <w:rFonts w:hint="eastAsia" w:ascii="宋体" w:hAnsi="宋体" w:eastAsia="宋体" w:cs="宋体"/>
                <w:kern w:val="0"/>
                <w:szCs w:val="21"/>
              </w:rPr>
              <w:t>（4）、每组功能操作面板可满足两组学生用电功能需求。为避免学生身高无法使用电源模块，最高处电源模块中心点距离操作面板底端≥145mm。</w:t>
            </w:r>
          </w:p>
          <w:p>
            <w:pPr>
              <w:widowControl/>
              <w:spacing w:line="300" w:lineRule="auto"/>
              <w:rPr>
                <w:rFonts w:ascii="宋体" w:hAnsi="宋体" w:eastAsia="宋体" w:cs="宋体"/>
                <w:kern w:val="0"/>
                <w:szCs w:val="21"/>
              </w:rPr>
            </w:pPr>
            <w:r>
              <w:rPr>
                <w:rFonts w:hint="eastAsia" w:ascii="宋体" w:hAnsi="宋体" w:eastAsia="宋体" w:cs="宋体"/>
                <w:kern w:val="0"/>
                <w:szCs w:val="21"/>
              </w:rPr>
              <w:t>（5）、背面检修面板留有散热孔，功能模块底面带有不锈钢挂环，可收束电源线。</w:t>
            </w:r>
          </w:p>
          <w:p>
            <w:pPr>
              <w:widowControl/>
              <w:spacing w:line="300" w:lineRule="auto"/>
              <w:rPr>
                <w:rFonts w:ascii="宋体" w:hAnsi="宋体" w:eastAsia="宋体" w:cs="宋体"/>
                <w:kern w:val="0"/>
                <w:szCs w:val="21"/>
              </w:rPr>
            </w:pPr>
            <w:r>
              <w:rPr>
                <w:rFonts w:hint="eastAsia" w:ascii="宋体" w:hAnsi="宋体" w:eastAsia="宋体" w:cs="宋体"/>
                <w:kern w:val="0"/>
                <w:szCs w:val="21"/>
              </w:rPr>
              <w:t>（6）、所有紧固零件均采用不锈钢材质。</w:t>
            </w:r>
          </w:p>
          <w:p>
            <w:pPr>
              <w:widowControl/>
              <w:spacing w:line="300" w:lineRule="auto"/>
              <w:rPr>
                <w:rFonts w:ascii="宋体" w:hAnsi="宋体" w:eastAsia="宋体" w:cs="宋体"/>
                <w:kern w:val="0"/>
                <w:szCs w:val="21"/>
              </w:rPr>
            </w:pPr>
            <w:r>
              <w:rPr>
                <w:rFonts w:hint="eastAsia" w:ascii="宋体" w:hAnsi="宋体" w:eastAsia="宋体" w:cs="宋体"/>
                <w:kern w:val="0"/>
                <w:szCs w:val="21"/>
              </w:rPr>
              <w:t>（7）、所有功能模块均接受智能控制系统控制。</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10</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多功能移动水槽台</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规格尺寸:≥500×600×1030mm/水槽深度≥270mm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1、水槽台上部为多功能安装平台采用≥3.8mm厚工程塑料整体模具注塑成型，多功能平台集成有给排水快速接口、信号控制接口、低压学生电源、三联水嘴、8试管位滴水架。</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2、低压学生电源固定安装于两侧，接收智能化控制系统控制，低压交流电源2-30V/3A（2V一档）（短路、过载自动保护、自动复位）；低压直流电源:1.25V-30V/3A，学生可进行微调；交直流电压均采用数码显示；</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3、水槽与台面采用≥3.8mm厚工程塑料整体模具一体注塑成型，台面设有溢水口及台式洗眼器，内部集成自动水位控制系统，四周边缘设计挡水边。</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★4、三联水嘴采用工程塑料模具注塑成型。投标人需提供实验室用三联水嘴关于“耐压性能”及“密封性能”等符合QB/T1334《水嘴通用技术条件》的检验报告。</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5、水槽台采用双层过滤结构，水槽下水口带有过滤网，水槽台中部配备抽屉式过滤层并安装通锁，背面预留检修口。</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6、水槽内设有水位传感器及排水装置，有自动排水和手动及紧急排水功能，将废水自动排出。摇臂设有自检测功能，当水槽电缆与摇臂相连时，摇臂处于使用状态，摇臂处于锁定状态，不能升降，避免各种误操作。</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 xml:space="preserve">7、水槽台底部安装静音万向轮。 </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★投标人需提多功能移动水槽台关于“触电及带电部件的保护”、“输入功率和电流”、“结构”、“稳定性”、“耐热和耐燃”等符合国家标准的检测报告。</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11</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洗眼器</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规格尺寸:≥120（眼罩直径）×60（眼罩深度）×1030（水管长度）mm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洗眼器内置在多功能水槽台内，可抽拉伸缩式，抽出后可以万向旋转，收缩后可以固定在内置卡槽。材质为优质橡胶，贴近眼部不刺激眼睛且有贴合度强。</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★投标人需提供“实验专用洗眼器”外观、密封性能、耐压性能等均符合国家标准GB/T1334《水嘴通用技术条件》的检测报告。</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12</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学生低压电源及网络智能控制系统</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0-30V交流电压电源，分档输出，额定电流≥6A（短路、过载自动保护、自动复位功能）； 1.25-30V精密稳压电源，无级输出（分辨率为0.1V），额定电流≥6A； 整室网络覆盖； 接受智能控制柜控制。</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室</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13</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嵌入式低压电源</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1、规格:≥165×160×90mm。</w:t>
            </w:r>
            <w:r>
              <w:rPr>
                <w:rFonts w:hint="eastAsia" w:ascii="宋体" w:hAnsi="宋体" w:eastAsia="宋体" w:cs="宋体"/>
                <w:kern w:val="0"/>
                <w:szCs w:val="21"/>
              </w:rPr>
              <w:br w:type="textWrapping"/>
            </w:r>
            <w:r>
              <w:rPr>
                <w:rFonts w:hint="eastAsia" w:ascii="宋体" w:hAnsi="宋体" w:eastAsia="宋体" w:cs="宋体"/>
                <w:kern w:val="0"/>
                <w:szCs w:val="21"/>
              </w:rPr>
              <w:t>2、受控低压交流电源2-30V/3A（2V一档）（短路、过载自动保护、自动复位）。</w:t>
            </w:r>
            <w:r>
              <w:rPr>
                <w:rFonts w:hint="eastAsia" w:ascii="宋体" w:hAnsi="宋体" w:eastAsia="宋体" w:cs="宋体"/>
                <w:kern w:val="0"/>
                <w:szCs w:val="21"/>
              </w:rPr>
              <w:br w:type="textWrapping"/>
            </w:r>
            <w:r>
              <w:rPr>
                <w:rFonts w:hint="eastAsia" w:ascii="宋体" w:hAnsi="宋体" w:eastAsia="宋体" w:cs="宋体"/>
                <w:kern w:val="0"/>
                <w:szCs w:val="21"/>
              </w:rPr>
              <w:t>3、低压直流电源:1.25V-30V/3A，学生可进行微调。</w:t>
            </w:r>
            <w:r>
              <w:rPr>
                <w:rFonts w:hint="eastAsia" w:ascii="宋体" w:hAnsi="宋体" w:eastAsia="宋体" w:cs="宋体"/>
                <w:kern w:val="0"/>
                <w:szCs w:val="21"/>
              </w:rPr>
              <w:br w:type="textWrapping"/>
            </w:r>
            <w:r>
              <w:rPr>
                <w:rFonts w:hint="eastAsia" w:ascii="宋体" w:hAnsi="宋体" w:eastAsia="宋体" w:cs="宋体"/>
                <w:kern w:val="0"/>
                <w:szCs w:val="21"/>
              </w:rPr>
              <w:t>4、交直流电压均采用数码显示。</w:t>
            </w:r>
            <w:r>
              <w:rPr>
                <w:rFonts w:hint="eastAsia" w:ascii="宋体" w:hAnsi="宋体" w:eastAsia="宋体" w:cs="宋体"/>
                <w:kern w:val="0"/>
                <w:szCs w:val="21"/>
              </w:rPr>
              <w:br w:type="textWrapping"/>
            </w:r>
            <w:r>
              <w:rPr>
                <w:rFonts w:hint="eastAsia" w:ascii="宋体" w:hAnsi="宋体" w:eastAsia="宋体" w:cs="宋体"/>
                <w:kern w:val="0"/>
                <w:szCs w:val="21"/>
              </w:rPr>
              <w:t>5、所有电器产品符合国家部颁标准。</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14</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自动给排水系统</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包括自动排水模块1组、自动水位控制器1组、信号控制器1套、自动保护系统1组。 所有排水由智能化控制系统集中控制，摇臂操作面板设计排水接口，接口与多功能移动水槽台采用优质PVC软管（具有防酸、防碱、耐腐蚀功能）连接，接口均采用自动锁紧插拔式连接方式（拔掉时没有污水流出），用时接上，不用时可收起。当水位达到限值时系统自动排水、污水经过连接管排至总管，当污水排净后排水系统自动关闭。</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电气网络线路</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 xml:space="preserve">1.供电布线:模块化设计，每组模块间采用活接式连接，方便安装、检修。采用≥2.5mm²电线进行系统布线。 </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2.网络布线:工程级全无氧铜超五类屏蔽双绞线。</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项</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16</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给排水布管</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1.给水主管选用≥Ø20-32mmPP-R给水管，模块化设计，每组模块间采用活接式连接，方便安装、检修。</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2.排水管选用加厚≥Ø50-75mmPVC-U国标管（具有防酸、防碱、耐腐蚀功能），模块化设计，每组模块间采用活接式连接，方便安装、检修。</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组</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17</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系统主体构架</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1、规格尺寸:标准模块化组成，≥2400×960×600mm为一组。</w:t>
            </w:r>
            <w:r>
              <w:rPr>
                <w:rFonts w:hint="eastAsia" w:ascii="宋体" w:hAnsi="宋体" w:eastAsia="宋体" w:cs="宋体"/>
                <w:kern w:val="0"/>
                <w:szCs w:val="21"/>
              </w:rPr>
              <w:br w:type="textWrapping"/>
            </w:r>
            <w:r>
              <w:rPr>
                <w:rFonts w:hint="eastAsia" w:ascii="宋体" w:hAnsi="宋体" w:eastAsia="宋体" w:cs="宋体"/>
                <w:kern w:val="0"/>
                <w:szCs w:val="21"/>
              </w:rPr>
              <w:t>2、外形及材质:流线型设计（飞机舱体式设计），内质承重结构框架采用≥30×30mm方形铝合金，左右装饰条采用≥180×200mm流线型ABS工程塑料注塑成型，具有耐腐蚀、防潮等功能，美观实用。</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组</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18</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近视矫正</w:t>
            </w:r>
          </w:p>
        </w:tc>
        <w:tc>
          <w:tcPr>
            <w:tcW w:w="3052" w:type="pct"/>
            <w:shd w:val="clear" w:color="auto" w:fill="auto"/>
            <w:vAlign w:val="center"/>
          </w:tcPr>
          <w:p>
            <w:pPr>
              <w:widowControl/>
              <w:spacing w:line="300" w:lineRule="auto"/>
              <w:rPr>
                <w:rFonts w:ascii="宋体" w:hAnsi="宋体" w:eastAsia="宋体" w:cs="宋体"/>
                <w:szCs w:val="21"/>
              </w:rPr>
            </w:pPr>
            <w:r>
              <w:rPr>
                <w:rFonts w:hint="eastAsia" w:ascii="宋体" w:hAnsi="宋体" w:eastAsia="宋体" w:cs="宋体"/>
                <w:szCs w:val="21"/>
              </w:rPr>
              <w:t>规格:≥0.5*0.68m</w:t>
            </w:r>
            <w:r>
              <w:rPr>
                <w:rFonts w:hint="eastAsia" w:ascii="宋体" w:hAnsi="宋体" w:eastAsia="宋体" w:cs="宋体"/>
                <w:szCs w:val="21"/>
              </w:rPr>
              <w:br w:type="textWrapping"/>
            </w:r>
            <w:r>
              <w:rPr>
                <w:rFonts w:hint="eastAsia" w:ascii="宋体" w:hAnsi="宋体" w:eastAsia="宋体" w:cs="宋体"/>
                <w:szCs w:val="21"/>
              </w:rPr>
              <w:t>1、按下启动按钮，观察光路，移动透镜，再次观察现象。</w:t>
            </w:r>
            <w:r>
              <w:rPr>
                <w:rFonts w:hint="eastAsia" w:ascii="宋体" w:hAnsi="宋体" w:eastAsia="宋体" w:cs="宋体"/>
                <w:szCs w:val="21"/>
              </w:rPr>
              <w:br w:type="textWrapping"/>
            </w:r>
            <w:r>
              <w:rPr>
                <w:rFonts w:hint="eastAsia" w:ascii="宋体" w:hAnsi="宋体" w:eastAsia="宋体" w:cs="宋体"/>
                <w:szCs w:val="21"/>
              </w:rPr>
              <w:t>2、功能概述:该展品通过用一定折射率的凸透镜模拟人眼的近视的晶状体，然后再分别用凸透镜进行矫正，展现了凸透镜汇聚作用。</w:t>
            </w:r>
            <w:r>
              <w:rPr>
                <w:rFonts w:hint="eastAsia" w:ascii="宋体" w:hAnsi="宋体" w:eastAsia="宋体" w:cs="宋体"/>
                <w:szCs w:val="21"/>
              </w:rPr>
              <w:br w:type="textWrapping"/>
            </w:r>
            <w:r>
              <w:rPr>
                <w:rFonts w:hint="eastAsia" w:ascii="宋体" w:hAnsi="宋体" w:eastAsia="宋体" w:cs="宋体"/>
                <w:szCs w:val="21"/>
              </w:rPr>
              <w:t>3、展品用材:</w:t>
            </w:r>
            <w:r>
              <w:rPr>
                <w:rFonts w:hint="eastAsia" w:ascii="宋体" w:hAnsi="宋体" w:eastAsia="宋体" w:cs="宋体"/>
                <w:szCs w:val="21"/>
              </w:rPr>
              <w:br w:type="textWrapping"/>
            </w:r>
            <w:r>
              <w:rPr>
                <w:rFonts w:hint="eastAsia" w:ascii="宋体" w:hAnsi="宋体" w:eastAsia="宋体" w:cs="宋体"/>
                <w:szCs w:val="21"/>
              </w:rPr>
              <w:t>①台面:康贝特板，厚度≥8mm。</w:t>
            </w:r>
            <w:r>
              <w:rPr>
                <w:rFonts w:hint="eastAsia" w:ascii="宋体" w:hAnsi="宋体" w:eastAsia="宋体" w:cs="宋体"/>
                <w:szCs w:val="21"/>
              </w:rPr>
              <w:br w:type="textWrapping"/>
            </w:r>
            <w:r>
              <w:rPr>
                <w:rFonts w:hint="eastAsia" w:ascii="宋体" w:hAnsi="宋体" w:eastAsia="宋体" w:cs="宋体"/>
                <w:szCs w:val="21"/>
              </w:rPr>
              <w:t>②说明牌:透明亚克力UV喷绘。</w:t>
            </w:r>
            <w:r>
              <w:rPr>
                <w:rFonts w:hint="eastAsia" w:ascii="宋体" w:hAnsi="宋体" w:eastAsia="宋体" w:cs="宋体"/>
                <w:szCs w:val="21"/>
              </w:rPr>
              <w:br w:type="textWrapping"/>
            </w:r>
            <w:r>
              <w:rPr>
                <w:rFonts w:hint="eastAsia" w:ascii="宋体" w:hAnsi="宋体" w:eastAsia="宋体" w:cs="宋体"/>
                <w:szCs w:val="21"/>
              </w:rPr>
              <w:t>③壁挂架:采用≥40×3角铁焊接而成，表面喷塑处理。</w:t>
            </w:r>
            <w:r>
              <w:rPr>
                <w:rFonts w:hint="eastAsia" w:ascii="宋体" w:hAnsi="宋体" w:eastAsia="宋体" w:cs="宋体"/>
                <w:szCs w:val="21"/>
              </w:rPr>
              <w:br w:type="textWrapping"/>
            </w:r>
            <w:r>
              <w:rPr>
                <w:rFonts w:hint="eastAsia" w:ascii="宋体" w:hAnsi="宋体" w:eastAsia="宋体" w:cs="宋体"/>
                <w:szCs w:val="21"/>
              </w:rPr>
              <w:t>④整体演示机构为:激光组件:材质为 PVC；近视镜片:复合亚克力；轨固定座:钣金后烤漆处理；透明亚克力 厚度≥5mm。</w:t>
            </w:r>
            <w:r>
              <w:rPr>
                <w:rFonts w:hint="eastAsia" w:ascii="宋体" w:hAnsi="宋体" w:eastAsia="宋体" w:cs="宋体"/>
                <w:szCs w:val="21"/>
              </w:rPr>
              <w:br w:type="textWrapping"/>
            </w:r>
            <w:r>
              <w:rPr>
                <w:rFonts w:hint="eastAsia" w:ascii="宋体" w:hAnsi="宋体" w:eastAsia="宋体" w:cs="宋体"/>
                <w:szCs w:val="21"/>
              </w:rPr>
              <w:t>4、主要配件:</w:t>
            </w:r>
            <w:r>
              <w:rPr>
                <w:rFonts w:hint="eastAsia" w:ascii="宋体" w:hAnsi="宋体" w:eastAsia="宋体" w:cs="宋体"/>
                <w:szCs w:val="21"/>
              </w:rPr>
              <w:br w:type="textWrapping"/>
            </w:r>
            <w:r>
              <w:rPr>
                <w:rFonts w:hint="eastAsia" w:ascii="宋体" w:hAnsi="宋体" w:eastAsia="宋体" w:cs="宋体"/>
                <w:szCs w:val="21"/>
              </w:rPr>
              <w:t>①自制MIGE_DY</w:t>
            </w:r>
            <w:r>
              <w:rPr>
                <w:rFonts w:hint="eastAsia" w:ascii="宋体" w:hAnsi="宋体" w:eastAsia="宋体" w:cs="宋体"/>
                <w:szCs w:val="21"/>
              </w:rPr>
              <w:br w:type="textWrapping"/>
            </w:r>
            <w:r>
              <w:rPr>
                <w:rFonts w:hint="eastAsia" w:ascii="宋体" w:hAnsi="宋体" w:eastAsia="宋体" w:cs="宋体"/>
                <w:szCs w:val="21"/>
              </w:rPr>
              <w:t>②开关电源:LRS-25-24 输入AC220V,输出DC24V,功率≥25W</w:t>
            </w:r>
            <w:r>
              <w:rPr>
                <w:rFonts w:hint="eastAsia" w:ascii="宋体" w:hAnsi="宋体" w:eastAsia="宋体" w:cs="宋体"/>
                <w:szCs w:val="21"/>
              </w:rPr>
              <w:br w:type="textWrapping"/>
            </w:r>
            <w:r>
              <w:rPr>
                <w:rFonts w:hint="eastAsia" w:ascii="宋体" w:hAnsi="宋体" w:eastAsia="宋体" w:cs="宋体"/>
                <w:szCs w:val="21"/>
              </w:rPr>
              <w:t>③熔断器:工作电压500V(AC) 极数:≥1P 额定电流≥1A</w:t>
            </w:r>
            <w:r>
              <w:rPr>
                <w:rFonts w:hint="eastAsia" w:ascii="宋体" w:hAnsi="宋体" w:eastAsia="宋体" w:cs="宋体"/>
                <w:szCs w:val="21"/>
              </w:rPr>
              <w:br w:type="textWrapping"/>
            </w:r>
            <w:r>
              <w:rPr>
                <w:rFonts w:hint="eastAsia" w:ascii="宋体" w:hAnsi="宋体" w:eastAsia="宋体" w:cs="宋体"/>
                <w:szCs w:val="21"/>
              </w:rPr>
              <w:t>④按钮:红波按钮 安装孔尺寸≥ Φ19；工作电压 250V；工作电流:≥5A；额定发热电流:≥10A；机械寿命:≥100万次；头部保护等级:≥IP65 ；防护方式:防水式。</w:t>
            </w:r>
            <w:r>
              <w:rPr>
                <w:rFonts w:hint="eastAsia" w:ascii="宋体" w:hAnsi="宋体" w:eastAsia="宋体" w:cs="宋体"/>
                <w:szCs w:val="21"/>
              </w:rPr>
              <w:br w:type="textWrapping"/>
            </w:r>
            <w:r>
              <w:rPr>
                <w:rFonts w:hint="eastAsia" w:ascii="宋体" w:hAnsi="宋体" w:eastAsia="宋体" w:cs="宋体"/>
                <w:szCs w:val="21"/>
              </w:rPr>
              <w:t>5、能源需求:AC220V+10%。</w:t>
            </w:r>
          </w:p>
          <w:p>
            <w:pPr>
              <w:spacing w:line="300" w:lineRule="auto"/>
              <w:rPr>
                <w:rFonts w:ascii="宋体" w:hAnsi="宋体" w:eastAsia="宋体" w:cs="宋体"/>
                <w:szCs w:val="21"/>
              </w:rPr>
            </w:pPr>
            <w:r>
              <w:rPr>
                <w:rFonts w:hint="eastAsia" w:ascii="宋体" w:hAnsi="宋体" w:eastAsia="宋体" w:cs="宋体"/>
                <w:kern w:val="0"/>
                <w:szCs w:val="21"/>
              </w:rPr>
              <w:t>★投标人需对该产品进行深化设计，出具产品的效果图、总装图、部件图、零件图、电气图（不涉及用电产品无需提供电气图）。</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19</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短期记忆测试</w:t>
            </w:r>
          </w:p>
        </w:tc>
        <w:tc>
          <w:tcPr>
            <w:tcW w:w="3052" w:type="pct"/>
            <w:shd w:val="clear" w:color="auto" w:fill="auto"/>
            <w:vAlign w:val="center"/>
          </w:tcPr>
          <w:p>
            <w:pPr>
              <w:widowControl/>
              <w:spacing w:line="300" w:lineRule="auto"/>
              <w:rPr>
                <w:rFonts w:ascii="宋体" w:hAnsi="宋体" w:eastAsia="宋体" w:cs="宋体"/>
                <w:szCs w:val="21"/>
              </w:rPr>
            </w:pPr>
            <w:r>
              <w:rPr>
                <w:rFonts w:hint="eastAsia" w:ascii="宋体" w:hAnsi="宋体" w:eastAsia="宋体" w:cs="宋体"/>
                <w:szCs w:val="21"/>
              </w:rPr>
              <w:t>规格:0≥.5*0.68m</w:t>
            </w:r>
            <w:r>
              <w:rPr>
                <w:rFonts w:hint="eastAsia" w:ascii="宋体" w:hAnsi="宋体" w:eastAsia="宋体" w:cs="宋体"/>
                <w:szCs w:val="21"/>
              </w:rPr>
              <w:br w:type="textWrapping"/>
            </w:r>
            <w:r>
              <w:rPr>
                <w:rFonts w:hint="eastAsia" w:ascii="宋体" w:hAnsi="宋体" w:eastAsia="宋体" w:cs="宋体"/>
                <w:szCs w:val="21"/>
              </w:rPr>
              <w:t>功能概述:按下“启动”按钮，在十五秒内记住灯亮的顺序。十五秒后，按照之前灯亮起的顺序,按下对应灯的按钮，试一试你能闯到第几关?</w:t>
            </w:r>
            <w:r>
              <w:rPr>
                <w:rFonts w:hint="eastAsia" w:ascii="宋体" w:hAnsi="宋体" w:eastAsia="宋体" w:cs="宋体"/>
                <w:szCs w:val="21"/>
              </w:rPr>
              <w:br w:type="textWrapping"/>
            </w:r>
            <w:r>
              <w:rPr>
                <w:rFonts w:hint="eastAsia" w:ascii="宋体" w:hAnsi="宋体" w:eastAsia="宋体" w:cs="宋体"/>
                <w:szCs w:val="21"/>
              </w:rPr>
              <w:t>1、展品用材:</w:t>
            </w:r>
            <w:r>
              <w:rPr>
                <w:rFonts w:hint="eastAsia" w:ascii="宋体" w:hAnsi="宋体" w:eastAsia="宋体" w:cs="宋体"/>
                <w:szCs w:val="21"/>
              </w:rPr>
              <w:br w:type="textWrapping"/>
            </w:r>
            <w:r>
              <w:rPr>
                <w:rFonts w:hint="eastAsia" w:ascii="宋体" w:hAnsi="宋体" w:eastAsia="宋体" w:cs="宋体"/>
                <w:szCs w:val="21"/>
              </w:rPr>
              <w:t>①数显框:亚克力粘接 厚度≥5mm</w:t>
            </w:r>
            <w:r>
              <w:rPr>
                <w:rFonts w:hint="eastAsia" w:ascii="宋体" w:hAnsi="宋体" w:eastAsia="宋体" w:cs="宋体"/>
                <w:szCs w:val="21"/>
              </w:rPr>
              <w:br w:type="textWrapping"/>
            </w:r>
            <w:r>
              <w:rPr>
                <w:rFonts w:hint="eastAsia" w:ascii="宋体" w:hAnsi="宋体" w:eastAsia="宋体" w:cs="宋体"/>
                <w:szCs w:val="21"/>
              </w:rPr>
              <w:t>②背板:抗倍特板 厚度≥8mm 表面喷绘</w:t>
            </w:r>
            <w:r>
              <w:rPr>
                <w:rFonts w:hint="eastAsia" w:ascii="宋体" w:hAnsi="宋体" w:eastAsia="宋体" w:cs="宋体"/>
                <w:szCs w:val="21"/>
              </w:rPr>
              <w:br w:type="textWrapping"/>
            </w:r>
            <w:r>
              <w:rPr>
                <w:rFonts w:hint="eastAsia" w:ascii="宋体" w:hAnsi="宋体" w:eastAsia="宋体" w:cs="宋体"/>
                <w:szCs w:val="21"/>
              </w:rPr>
              <w:t>③固定架:Q235 厚度≥1.2mm 表面喷塑处理</w:t>
            </w:r>
            <w:r>
              <w:rPr>
                <w:rFonts w:hint="eastAsia" w:ascii="宋体" w:hAnsi="宋体" w:eastAsia="宋体" w:cs="宋体"/>
                <w:szCs w:val="21"/>
              </w:rPr>
              <w:br w:type="textWrapping"/>
            </w:r>
            <w:r>
              <w:rPr>
                <w:rFonts w:hint="eastAsia" w:ascii="宋体" w:hAnsi="宋体" w:eastAsia="宋体" w:cs="宋体"/>
                <w:szCs w:val="21"/>
              </w:rPr>
              <w:t>④电器框:Q235 厚度≥1.2mm 表面喷塑处理</w:t>
            </w:r>
            <w:r>
              <w:rPr>
                <w:rFonts w:hint="eastAsia" w:ascii="宋体" w:hAnsi="宋体" w:eastAsia="宋体" w:cs="宋体"/>
                <w:szCs w:val="21"/>
              </w:rPr>
              <w:br w:type="textWrapping"/>
            </w:r>
            <w:r>
              <w:rPr>
                <w:rFonts w:hint="eastAsia" w:ascii="宋体" w:hAnsi="宋体" w:eastAsia="宋体" w:cs="宋体"/>
                <w:szCs w:val="21"/>
              </w:rPr>
              <w:t>2、主要配置:</w:t>
            </w:r>
            <w:r>
              <w:rPr>
                <w:rFonts w:hint="eastAsia" w:ascii="宋体" w:hAnsi="宋体" w:eastAsia="宋体" w:cs="宋体"/>
                <w:szCs w:val="21"/>
              </w:rPr>
              <w:br w:type="textWrapping"/>
            </w:r>
            <w:r>
              <w:rPr>
                <w:rFonts w:hint="eastAsia" w:ascii="宋体" w:hAnsi="宋体" w:eastAsia="宋体" w:cs="宋体"/>
                <w:szCs w:val="21"/>
              </w:rPr>
              <w:t>①装饰螺钉</w:t>
            </w:r>
            <w:r>
              <w:rPr>
                <w:rFonts w:hint="eastAsia" w:ascii="宋体" w:hAnsi="宋体" w:eastAsia="宋体" w:cs="宋体"/>
                <w:szCs w:val="21"/>
              </w:rPr>
              <w:br w:type="textWrapping"/>
            </w:r>
            <w:r>
              <w:rPr>
                <w:rFonts w:hint="eastAsia" w:ascii="宋体" w:hAnsi="宋体" w:eastAsia="宋体" w:cs="宋体"/>
                <w:szCs w:val="21"/>
              </w:rPr>
              <w:t>②漏电开关:极数:≥2P+N；脱扣器电流:≥16A；灭弧介质:漏电断路器；分断能力:≥6KA</w:t>
            </w:r>
            <w:r>
              <w:rPr>
                <w:rFonts w:hint="eastAsia" w:ascii="宋体" w:hAnsi="宋体" w:eastAsia="宋体" w:cs="宋体"/>
                <w:szCs w:val="21"/>
              </w:rPr>
              <w:br w:type="textWrapping"/>
            </w:r>
            <w:r>
              <w:rPr>
                <w:rFonts w:hint="eastAsia" w:ascii="宋体" w:hAnsi="宋体" w:eastAsia="宋体" w:cs="宋体"/>
                <w:szCs w:val="21"/>
              </w:rPr>
              <w:t>③按钮:安装孔尺寸≥ Φ60；工作电压 250V；工作电流:≥5A；额定发热电流:≥10A；机械寿命:≥100万次；头部保护等级:≥IP65 ；防护方式:防水式。</w:t>
            </w:r>
            <w:r>
              <w:rPr>
                <w:rFonts w:hint="eastAsia" w:ascii="宋体" w:hAnsi="宋体" w:eastAsia="宋体" w:cs="宋体"/>
                <w:szCs w:val="21"/>
              </w:rPr>
              <w:br w:type="textWrapping"/>
            </w:r>
            <w:r>
              <w:rPr>
                <w:rFonts w:hint="eastAsia" w:ascii="宋体" w:hAnsi="宋体" w:eastAsia="宋体" w:cs="宋体"/>
                <w:szCs w:val="21"/>
              </w:rPr>
              <w:t>④1.5寸两位数显表</w:t>
            </w:r>
            <w:r>
              <w:rPr>
                <w:rFonts w:hint="eastAsia" w:ascii="宋体" w:hAnsi="宋体" w:eastAsia="宋体" w:cs="宋体"/>
                <w:szCs w:val="21"/>
              </w:rPr>
              <w:br w:type="textWrapping"/>
            </w:r>
            <w:r>
              <w:rPr>
                <w:rFonts w:hint="eastAsia" w:ascii="宋体" w:hAnsi="宋体" w:eastAsia="宋体" w:cs="宋体"/>
                <w:szCs w:val="21"/>
              </w:rPr>
              <w:t>3、能源需求:AC220V+10%  ≥200W。</w:t>
            </w:r>
          </w:p>
          <w:p>
            <w:pPr>
              <w:spacing w:line="300" w:lineRule="auto"/>
              <w:rPr>
                <w:rFonts w:ascii="宋体" w:hAnsi="宋体" w:eastAsia="宋体" w:cs="宋体"/>
                <w:szCs w:val="21"/>
              </w:rPr>
            </w:pPr>
            <w:r>
              <w:rPr>
                <w:rFonts w:hint="eastAsia" w:ascii="宋体" w:hAnsi="宋体" w:eastAsia="宋体" w:cs="宋体"/>
                <w:kern w:val="0"/>
                <w:szCs w:val="21"/>
              </w:rPr>
              <w:t>★投标人需对该产品进行深化设计，出具产品的效果图、总装图、部件图、零件图、电气图（不涉及用电产品无需提供电气图）。</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kern w:val="0"/>
                <w:szCs w:val="21"/>
              </w:rPr>
            </w:pPr>
            <w:r>
              <w:rPr>
                <w:rFonts w:hint="eastAsia" w:ascii="宋体" w:hAnsi="宋体" w:eastAsia="宋体" w:cs="宋体"/>
                <w:b/>
                <w:bCs/>
                <w:kern w:val="0"/>
                <w:szCs w:val="21"/>
              </w:rPr>
              <w:t>二</w:t>
            </w:r>
          </w:p>
        </w:tc>
        <w:tc>
          <w:tcPr>
            <w:tcW w:w="755" w:type="pct"/>
            <w:shd w:val="clear" w:color="auto" w:fill="auto"/>
            <w:vAlign w:val="center"/>
          </w:tcPr>
          <w:p>
            <w:pPr>
              <w:widowControl/>
              <w:spacing w:line="300" w:lineRule="auto"/>
              <w:jc w:val="center"/>
              <w:rPr>
                <w:rFonts w:ascii="宋体" w:hAnsi="宋体" w:eastAsia="宋体" w:cs="宋体"/>
                <w:b/>
                <w:bCs/>
                <w:kern w:val="0"/>
                <w:szCs w:val="21"/>
              </w:rPr>
            </w:pPr>
          </w:p>
        </w:tc>
        <w:tc>
          <w:tcPr>
            <w:tcW w:w="3052" w:type="pct"/>
            <w:shd w:val="clear" w:color="auto" w:fill="auto"/>
            <w:vAlign w:val="center"/>
          </w:tcPr>
          <w:p>
            <w:pPr>
              <w:autoSpaceDE w:val="0"/>
              <w:autoSpaceDN w:val="0"/>
              <w:adjustRightInd w:val="0"/>
              <w:spacing w:line="300" w:lineRule="auto"/>
              <w:jc w:val="center"/>
              <w:rPr>
                <w:rFonts w:ascii="宋体" w:hAnsi="宋体" w:eastAsia="宋体" w:cs="宋体"/>
                <w:kern w:val="0"/>
                <w:szCs w:val="21"/>
              </w:rPr>
            </w:pPr>
            <w:r>
              <w:rPr>
                <w:rFonts w:hint="eastAsia" w:ascii="宋体" w:hAnsi="宋体" w:eastAsia="宋体" w:cs="宋体"/>
                <w:b/>
                <w:bCs/>
                <w:color w:val="000000"/>
                <w:kern w:val="0"/>
                <w:szCs w:val="21"/>
              </w:rPr>
              <w:t>生物实验准备室</w:t>
            </w:r>
          </w:p>
        </w:tc>
        <w:tc>
          <w:tcPr>
            <w:tcW w:w="374" w:type="pct"/>
            <w:shd w:val="clear" w:color="auto" w:fill="auto"/>
            <w:vAlign w:val="center"/>
          </w:tcPr>
          <w:p>
            <w:pPr>
              <w:widowControl/>
              <w:spacing w:line="300" w:lineRule="auto"/>
              <w:jc w:val="center"/>
              <w:rPr>
                <w:rFonts w:ascii="宋体" w:hAnsi="宋体" w:eastAsia="宋体" w:cs="宋体"/>
                <w:kern w:val="0"/>
                <w:szCs w:val="21"/>
              </w:rPr>
            </w:pPr>
          </w:p>
        </w:tc>
        <w:tc>
          <w:tcPr>
            <w:tcW w:w="445" w:type="pct"/>
            <w:shd w:val="clear" w:color="auto" w:fill="auto"/>
            <w:vAlign w:val="center"/>
          </w:tcPr>
          <w:p>
            <w:pPr>
              <w:widowControl/>
              <w:spacing w:line="300" w:lineRule="auto"/>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755" w:type="pct"/>
            <w:shd w:val="clear" w:color="auto" w:fill="auto"/>
            <w:vAlign w:val="center"/>
          </w:tcPr>
          <w:p>
            <w:pPr>
              <w:widowControl/>
              <w:spacing w:line="300" w:lineRule="auto"/>
              <w:jc w:val="center"/>
              <w:textAlignment w:val="center"/>
              <w:rPr>
                <w:rFonts w:ascii="宋体" w:hAnsi="宋体" w:eastAsia="宋体" w:cs="宋体"/>
                <w:color w:val="000000"/>
                <w:kern w:val="0"/>
                <w:szCs w:val="21"/>
              </w:rPr>
            </w:pPr>
            <w:r>
              <w:rPr>
                <w:rFonts w:hint="eastAsia" w:ascii="宋体" w:hAnsi="宋体" w:eastAsia="宋体" w:cs="宋体"/>
                <w:kern w:val="0"/>
                <w:szCs w:val="21"/>
              </w:rPr>
              <w:t>准备台</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规格:≥3000×750×850mm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面板材:一体化台面，采用知名品牌≥12mm实芯理化板，耐强酸碱、耐腐蚀、耐有机溶剂，抗菌、抗污染、防水、防火。四周边缘加厚至≥24mm，并经精密加工、倒角、打磨，呈光滑半圆形，注重人性化设计，美观实用。</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台的结构:铝木结构</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身:侧、前后档板、门板等均采用≥16mm厚优质E1级环保三聚氰胺灰白色双贴面板。所有板材截面均采用热溶封边机以≥2mm厚PVC封边。准备台两边上层设计成抽屉的形式，两边的下层做成“凹”式（中间≥1000宽处凹进出≥300）柜的形式,柜内安装一层调节隔板。</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可调脚:采用模具成型PC＋ABS工程塑料合金注塑专用垫，可隐蔽固定，高≥25mm，可暗藏固定防止晃动，并能有效防止桌身受潮，延长设备的使用寿命。</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化验水槽一副:</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规格:≥420×320×200mm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≥5mm厚高密度黑色PP材质一体成型，具有弹性、耐酸碱、耐有机溶剂、耐热，在无外力作用下加热至150℃不变形。</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三联水嘴一副:</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铜塑三联化验水嘴、两低一高。</w:t>
            </w:r>
          </w:p>
          <w:p>
            <w:pPr>
              <w:widowControl/>
              <w:spacing w:line="300" w:lineRule="auto"/>
              <w:jc w:val="left"/>
              <w:textAlignment w:val="center"/>
              <w:rPr>
                <w:rFonts w:ascii="宋体" w:hAnsi="宋体" w:eastAsia="宋体" w:cs="宋体"/>
                <w:color w:val="000000"/>
                <w:kern w:val="0"/>
                <w:szCs w:val="21"/>
              </w:rPr>
            </w:pPr>
            <w:r>
              <w:rPr>
                <w:rFonts w:hint="eastAsia" w:ascii="宋体" w:hAnsi="宋体" w:eastAsia="宋体" w:cs="宋体"/>
                <w:kern w:val="0"/>
                <w:szCs w:val="21"/>
              </w:rPr>
              <w:t>电源:多功能插座2个</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实验室专用水槽</w:t>
            </w:r>
          </w:p>
        </w:tc>
        <w:tc>
          <w:tcPr>
            <w:tcW w:w="3052" w:type="pct"/>
            <w:shd w:val="clear" w:color="auto" w:fill="auto"/>
            <w:vAlign w:val="center"/>
          </w:tcPr>
          <w:p>
            <w:pPr>
              <w:widowControl/>
              <w:spacing w:line="300" w:lineRule="auto"/>
              <w:jc w:val="left"/>
              <w:rPr>
                <w:rFonts w:ascii="宋体" w:hAnsi="宋体" w:eastAsia="宋体" w:cs="宋体"/>
                <w:szCs w:val="21"/>
              </w:rPr>
            </w:pPr>
            <w:r>
              <w:rPr>
                <w:rFonts w:hint="eastAsia" w:ascii="宋体" w:hAnsi="宋体" w:eastAsia="宋体" w:cs="宋体"/>
                <w:szCs w:val="21"/>
              </w:rPr>
              <w:t>规格:</w:t>
            </w:r>
            <w:r>
              <w:rPr>
                <w:rFonts w:hint="eastAsia" w:ascii="宋体" w:hAnsi="宋体" w:eastAsia="宋体" w:cs="宋体"/>
                <w:kern w:val="0"/>
                <w:szCs w:val="21"/>
              </w:rPr>
              <w:t>≥</w:t>
            </w:r>
            <w:r>
              <w:rPr>
                <w:rFonts w:hint="eastAsia" w:ascii="宋体" w:hAnsi="宋体" w:eastAsia="宋体" w:cs="宋体"/>
                <w:szCs w:val="21"/>
              </w:rPr>
              <w:t>550*450*300</w:t>
            </w:r>
            <w:r>
              <w:rPr>
                <w:rFonts w:hint="eastAsia" w:ascii="宋体" w:hAnsi="宋体" w:eastAsia="宋体" w:cs="宋体"/>
                <w:kern w:val="0"/>
                <w:szCs w:val="21"/>
              </w:rPr>
              <w:t>mm</w:t>
            </w:r>
          </w:p>
          <w:p>
            <w:pPr>
              <w:widowControl/>
              <w:spacing w:line="300" w:lineRule="auto"/>
              <w:jc w:val="left"/>
              <w:rPr>
                <w:rFonts w:ascii="宋体" w:hAnsi="宋体" w:eastAsia="宋体" w:cs="宋体"/>
                <w:szCs w:val="21"/>
              </w:rPr>
            </w:pPr>
            <w:r>
              <w:rPr>
                <w:rFonts w:hint="eastAsia" w:ascii="宋体" w:hAnsi="宋体" w:eastAsia="宋体" w:cs="宋体"/>
                <w:szCs w:val="21"/>
              </w:rPr>
              <w:t>采用实验室专用高密度PP一体化成型水槽，易清洁，耐腐蚀，且利于台面残水自然回流，美观实用；具耐酸碱、耐有机溶剂、耐紫外线等特点。</w:t>
            </w:r>
            <w:r>
              <w:rPr>
                <w:rFonts w:hint="eastAsia" w:ascii="宋体" w:hAnsi="宋体" w:eastAsia="宋体" w:cs="宋体"/>
                <w:szCs w:val="21"/>
              </w:rPr>
              <w:br w:type="textWrapping"/>
            </w:r>
            <w:r>
              <w:rPr>
                <w:rFonts w:hint="eastAsia" w:ascii="宋体" w:hAnsi="宋体" w:eastAsia="宋体" w:cs="宋体"/>
                <w:szCs w:val="21"/>
              </w:rPr>
              <w:t>实验室专用水槽技术性能满足:QB/T 2658-2017 卫生设备用台盆:</w:t>
            </w:r>
            <w:r>
              <w:rPr>
                <w:rFonts w:hint="eastAsia" w:ascii="宋体" w:hAnsi="宋体" w:eastAsia="宋体" w:cs="宋体"/>
                <w:szCs w:val="21"/>
              </w:rPr>
              <w:br w:type="textWrapping"/>
            </w:r>
            <w:r>
              <w:rPr>
                <w:rFonts w:hint="eastAsia" w:ascii="宋体" w:hAnsi="宋体" w:eastAsia="宋体" w:cs="宋体"/>
                <w:szCs w:val="21"/>
              </w:rPr>
              <w:t>1、外观:产品使用表面应光滑顺畅，不应有划伤、裂纹、气泡、爆边等明显缺陷；</w:t>
            </w:r>
            <w:r>
              <w:rPr>
                <w:rFonts w:hint="eastAsia" w:ascii="宋体" w:hAnsi="宋体" w:eastAsia="宋体" w:cs="宋体"/>
                <w:szCs w:val="21"/>
              </w:rPr>
              <w:br w:type="textWrapping"/>
            </w:r>
            <w:r>
              <w:rPr>
                <w:rFonts w:hint="eastAsia" w:ascii="宋体" w:hAnsi="宋体" w:eastAsia="宋体" w:cs="宋体"/>
                <w:szCs w:val="21"/>
              </w:rPr>
              <w:t>2、抗负载:试验后不应有裂纹、破裂、或永久性变形，但直接受力点的变形不视为不合格；</w:t>
            </w:r>
            <w:r>
              <w:rPr>
                <w:rFonts w:hint="eastAsia" w:ascii="宋体" w:hAnsi="宋体" w:eastAsia="宋体" w:cs="宋体"/>
                <w:szCs w:val="21"/>
              </w:rPr>
              <w:br w:type="textWrapping"/>
            </w:r>
            <w:r>
              <w:rPr>
                <w:rFonts w:hint="eastAsia" w:ascii="宋体" w:hAnsi="宋体" w:eastAsia="宋体" w:cs="宋体"/>
                <w:szCs w:val="21"/>
              </w:rPr>
              <w:t>3、耐化学腐蚀和耐污染性能:试验后，测试面不应出现不可消除的不良，如污点、损坏等。</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三联高低位龙头</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岛式插座</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1、钢制线盒，主框架采用裸板实际厚度大于1.0mm厚优质钢材产一级高强度镀锌钢板经CNC机压成形、焊接制作，表面经磷化处理、环氧树脂静电粉末涂装处理。</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2.220V交流输出为新国标五孔插座。</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滴水架</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不锈钢材质，高密度PP 类型:单面，底部托盘中间设有排水孔，可拆卸式滴水棒，具有锁扣功能，方便使用的安装方式。</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仪器柜</w:t>
            </w:r>
          </w:p>
        </w:tc>
        <w:tc>
          <w:tcPr>
            <w:tcW w:w="3052" w:type="pct"/>
            <w:shd w:val="clear" w:color="auto" w:fill="auto"/>
            <w:vAlign w:val="center"/>
          </w:tcPr>
          <w:p>
            <w:pPr>
              <w:widowControl/>
              <w:spacing w:line="300" w:lineRule="auto"/>
              <w:rPr>
                <w:rFonts w:ascii="宋体" w:hAnsi="宋体" w:eastAsia="宋体" w:cs="宋体"/>
                <w:szCs w:val="21"/>
              </w:rPr>
            </w:pPr>
            <w:r>
              <w:rPr>
                <w:rFonts w:hint="eastAsia" w:ascii="宋体" w:hAnsi="宋体" w:eastAsia="宋体" w:cs="宋体"/>
                <w:szCs w:val="21"/>
              </w:rPr>
              <w:t>规格:≥1000*500*2000mm。</w:t>
            </w:r>
            <w:r>
              <w:rPr>
                <w:rFonts w:hint="eastAsia" w:ascii="宋体" w:hAnsi="宋体" w:eastAsia="宋体" w:cs="宋体"/>
                <w:szCs w:val="21"/>
              </w:rPr>
              <w:br w:type="textWrapping"/>
            </w:r>
            <w:r>
              <w:rPr>
                <w:rFonts w:hint="eastAsia" w:ascii="宋体" w:hAnsi="宋体" w:eastAsia="宋体" w:cs="宋体"/>
                <w:szCs w:val="21"/>
              </w:rPr>
              <w:t>1.铝木结构</w:t>
            </w:r>
          </w:p>
          <w:p>
            <w:pPr>
              <w:widowControl/>
              <w:spacing w:line="300" w:lineRule="auto"/>
              <w:rPr>
                <w:rFonts w:ascii="宋体" w:hAnsi="宋体" w:eastAsia="宋体" w:cs="宋体"/>
                <w:szCs w:val="21"/>
              </w:rPr>
            </w:pPr>
            <w:r>
              <w:rPr>
                <w:rFonts w:hint="eastAsia" w:ascii="宋体" w:hAnsi="宋体" w:eastAsia="宋体" w:cs="宋体"/>
                <w:szCs w:val="21"/>
              </w:rPr>
              <w:t>2.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kern w:val="0"/>
                <w:szCs w:val="21"/>
              </w:rPr>
              <w:t>★</w:t>
            </w:r>
            <w:r>
              <w:rPr>
                <w:rFonts w:hint="eastAsia" w:ascii="宋体" w:hAnsi="宋体" w:eastAsia="宋体" w:cs="宋体"/>
                <w:szCs w:val="21"/>
              </w:rPr>
              <w:t>技术要求满足:GB 24820-2009 实验室家具通用技术条件:1、甲醛释放量mg/L ≤1.5；</w:t>
            </w:r>
          </w:p>
          <w:p>
            <w:pPr>
              <w:widowControl/>
              <w:spacing w:line="300" w:lineRule="auto"/>
              <w:rPr>
                <w:rFonts w:ascii="宋体" w:hAnsi="宋体" w:eastAsia="宋体" w:cs="宋体"/>
                <w:szCs w:val="21"/>
              </w:rPr>
            </w:pPr>
            <w:r>
              <w:rPr>
                <w:rFonts w:hint="eastAsia" w:ascii="宋体" w:hAnsi="宋体" w:eastAsia="宋体" w:cs="宋体"/>
                <w:szCs w:val="21"/>
              </w:rPr>
              <w:t>需提供由生产厂家送检满足以上技术要求具有CMA、CAL、ilac-MRA、CNAS认证的由省级或省级以上检测机构出具的三聚氰胺板检测报告复印件</w:t>
            </w:r>
          </w:p>
          <w:p>
            <w:pPr>
              <w:widowControl/>
              <w:spacing w:line="300" w:lineRule="auto"/>
              <w:rPr>
                <w:rFonts w:ascii="宋体" w:hAnsi="宋体" w:eastAsia="宋体" w:cs="宋体"/>
                <w:szCs w:val="21"/>
              </w:rPr>
            </w:pPr>
            <w:r>
              <w:rPr>
                <w:rFonts w:hint="eastAsia" w:ascii="宋体" w:hAnsi="宋体" w:eastAsia="宋体" w:cs="宋体"/>
                <w:szCs w:val="21"/>
              </w:rPr>
              <w:t>3. 耐腐蚀连接件:ABS专用连接组装件 ；</w:t>
            </w:r>
            <w:r>
              <w:rPr>
                <w:rFonts w:hint="eastAsia" w:ascii="宋体" w:hAnsi="宋体" w:eastAsia="宋体" w:cs="宋体"/>
                <w:kern w:val="0"/>
                <w:szCs w:val="21"/>
              </w:rPr>
              <w:t>★</w:t>
            </w:r>
            <w:r>
              <w:rPr>
                <w:rFonts w:hint="eastAsia" w:ascii="宋体" w:hAnsi="宋体" w:eastAsia="宋体" w:cs="宋体"/>
                <w:szCs w:val="21"/>
              </w:rPr>
              <w:t xml:space="preserve">技术要求满足:GB/T 10125-2012 人造气氛腐蚀试验 盐雾试验 </w:t>
            </w:r>
          </w:p>
          <w:p>
            <w:pPr>
              <w:widowControl/>
              <w:spacing w:line="300" w:lineRule="auto"/>
              <w:rPr>
                <w:rFonts w:ascii="宋体" w:hAnsi="宋体" w:eastAsia="宋体" w:cs="宋体"/>
                <w:szCs w:val="21"/>
              </w:rPr>
            </w:pPr>
            <w:r>
              <w:rPr>
                <w:rFonts w:hint="eastAsia" w:ascii="宋体" w:hAnsi="宋体" w:eastAsia="宋体" w:cs="宋体"/>
                <w:szCs w:val="21"/>
              </w:rPr>
              <w:t xml:space="preserve">               GB/T 6461-2002  金属基体上金属和其他无机覆盖层 经腐蚀试验后的试样和试件的评级</w:t>
            </w:r>
          </w:p>
          <w:p>
            <w:pPr>
              <w:widowControl/>
              <w:spacing w:line="300" w:lineRule="auto"/>
              <w:rPr>
                <w:rFonts w:ascii="宋体" w:hAnsi="宋体" w:eastAsia="宋体" w:cs="宋体"/>
                <w:szCs w:val="21"/>
              </w:rPr>
            </w:pPr>
            <w:r>
              <w:rPr>
                <w:rFonts w:hint="eastAsia" w:ascii="宋体" w:hAnsi="宋体" w:eastAsia="宋体" w:cs="宋体"/>
                <w:szCs w:val="21"/>
              </w:rPr>
              <w:t xml:space="preserve">  1、盐雾试验:72h中性盐雾试验 检测结果:10级</w:t>
            </w:r>
          </w:p>
          <w:p>
            <w:pPr>
              <w:widowControl/>
              <w:spacing w:line="300" w:lineRule="auto"/>
              <w:rPr>
                <w:rFonts w:ascii="宋体" w:hAnsi="宋体" w:eastAsia="宋体" w:cs="宋体"/>
                <w:szCs w:val="21"/>
              </w:rPr>
            </w:pPr>
            <w:r>
              <w:rPr>
                <w:rFonts w:hint="eastAsia" w:ascii="宋体" w:hAnsi="宋体" w:eastAsia="宋体" w:cs="宋体"/>
                <w:szCs w:val="21"/>
              </w:rPr>
              <w:t>需提供由生产厂家送检满足以上技术要求具有CMA、CAL、ilac-MRA、CNAS认证的由省级或省级以上检测机构出具的耐腐蚀连接件检测报告复印件</w:t>
            </w:r>
          </w:p>
          <w:p>
            <w:pPr>
              <w:widowControl/>
              <w:spacing w:line="300" w:lineRule="auto"/>
              <w:rPr>
                <w:rFonts w:ascii="宋体" w:hAnsi="宋体" w:eastAsia="宋体" w:cs="宋体"/>
                <w:szCs w:val="21"/>
              </w:rPr>
            </w:pPr>
            <w:r>
              <w:rPr>
                <w:rFonts w:hint="eastAsia" w:ascii="宋体" w:hAnsi="宋体" w:eastAsia="宋体" w:cs="宋体"/>
                <w:szCs w:val="21"/>
              </w:rPr>
              <w:t>4. 隔板:两块层板为16MM三聚氰胺板，长边采用30.5*24MM,壁厚1.2MM专用铝合金型材，防止层板弯曲变形铝型材可以插入标签贴，方便药品及仪器放置分类；</w:t>
            </w:r>
            <w:r>
              <w:rPr>
                <w:rFonts w:hint="eastAsia" w:ascii="宋体" w:hAnsi="宋体" w:eastAsia="宋体" w:cs="宋体"/>
                <w:kern w:val="0"/>
                <w:szCs w:val="21"/>
              </w:rPr>
              <w:t>★</w:t>
            </w:r>
            <w:r>
              <w:rPr>
                <w:rFonts w:hint="eastAsia" w:ascii="宋体" w:hAnsi="宋体" w:eastAsia="宋体" w:cs="宋体"/>
                <w:szCs w:val="21"/>
              </w:rPr>
              <w:t xml:space="preserve">技术要求满足:GB/T 10125-2012 人造气氛腐蚀试验 盐雾试验 </w:t>
            </w:r>
          </w:p>
          <w:p>
            <w:pPr>
              <w:widowControl/>
              <w:spacing w:line="300" w:lineRule="auto"/>
              <w:rPr>
                <w:rFonts w:ascii="宋体" w:hAnsi="宋体" w:eastAsia="宋体" w:cs="宋体"/>
                <w:szCs w:val="21"/>
              </w:rPr>
            </w:pPr>
            <w:r>
              <w:rPr>
                <w:rFonts w:hint="eastAsia" w:ascii="宋体" w:hAnsi="宋体" w:eastAsia="宋体" w:cs="宋体"/>
                <w:szCs w:val="21"/>
              </w:rPr>
              <w:t xml:space="preserve">               GB/T 6461-2002  金属基体上金属和其他无机覆盖层 经腐蚀试验后的试样和试件的评级</w:t>
            </w:r>
          </w:p>
          <w:p>
            <w:pPr>
              <w:widowControl/>
              <w:spacing w:line="300" w:lineRule="auto"/>
              <w:rPr>
                <w:rFonts w:ascii="宋体" w:hAnsi="宋体" w:eastAsia="宋体" w:cs="宋体"/>
                <w:szCs w:val="21"/>
              </w:rPr>
            </w:pPr>
            <w:r>
              <w:rPr>
                <w:rFonts w:hint="eastAsia" w:ascii="宋体" w:hAnsi="宋体" w:eastAsia="宋体" w:cs="宋体"/>
                <w:szCs w:val="21"/>
              </w:rPr>
              <w:t xml:space="preserve">  1、盐雾试验:72h中性盐雾试验 检测结果:10级</w:t>
            </w:r>
          </w:p>
          <w:p>
            <w:pPr>
              <w:widowControl/>
              <w:spacing w:line="300" w:lineRule="auto"/>
              <w:rPr>
                <w:rFonts w:ascii="宋体" w:hAnsi="宋体" w:eastAsia="宋体" w:cs="宋体"/>
                <w:szCs w:val="21"/>
              </w:rPr>
            </w:pPr>
            <w:r>
              <w:rPr>
                <w:rFonts w:hint="eastAsia" w:ascii="宋体" w:hAnsi="宋体" w:eastAsia="宋体" w:cs="宋体"/>
                <w:szCs w:val="21"/>
              </w:rPr>
              <w:t>需提供由生产厂家送检满足以上技术要求具有CMA、CAL、ilac-MRA、CNAS认证的由省级或省级以上检测机构出具的铝合金型材检测报告复印件</w:t>
            </w:r>
          </w:p>
          <w:p>
            <w:pPr>
              <w:widowControl/>
              <w:spacing w:line="300" w:lineRule="auto"/>
              <w:rPr>
                <w:rFonts w:ascii="宋体" w:hAnsi="宋体" w:eastAsia="宋体" w:cs="宋体"/>
                <w:szCs w:val="21"/>
              </w:rPr>
            </w:pPr>
            <w:r>
              <w:rPr>
                <w:rFonts w:hint="eastAsia" w:ascii="宋体" w:hAnsi="宋体" w:eastAsia="宋体" w:cs="宋体"/>
                <w:szCs w:val="21"/>
              </w:rPr>
              <w:t>5. 上柜两扇外开4mm厚玻璃门，门玻璃四周镶嵌ABS黑色装饰条（玻璃门门框采用一块整版制作，不拼接），下柜两扇，双开木门。设活动隔板一块；</w:t>
            </w:r>
          </w:p>
          <w:p>
            <w:pPr>
              <w:widowControl/>
              <w:spacing w:line="300" w:lineRule="auto"/>
              <w:rPr>
                <w:rFonts w:ascii="宋体" w:hAnsi="宋体" w:eastAsia="宋体" w:cs="宋体"/>
                <w:szCs w:val="21"/>
              </w:rPr>
            </w:pPr>
            <w:r>
              <w:rPr>
                <w:rFonts w:hint="eastAsia" w:ascii="宋体" w:hAnsi="宋体" w:eastAsia="宋体" w:cs="宋体"/>
                <w:szCs w:val="21"/>
              </w:rPr>
              <w:t>6. 脚垫:采用特制模具优质注塑脚垫，高度为2.5cm，高度可调，可有效防潮。</w:t>
            </w:r>
          </w:p>
          <w:p>
            <w:pPr>
              <w:widowControl/>
              <w:spacing w:line="300" w:lineRule="auto"/>
              <w:rPr>
                <w:rFonts w:ascii="宋体" w:hAnsi="宋体" w:eastAsia="宋体" w:cs="宋体"/>
                <w:szCs w:val="21"/>
              </w:rPr>
            </w:pPr>
            <w:r>
              <w:rPr>
                <w:rFonts w:hint="eastAsia" w:ascii="宋体" w:hAnsi="宋体" w:eastAsia="宋体" w:cs="宋体"/>
                <w:szCs w:val="21"/>
              </w:rPr>
              <w:t>技术要求满足:GB 24820-2009 实验室家具通用技术条件；</w:t>
            </w:r>
          </w:p>
          <w:p>
            <w:pPr>
              <w:widowControl/>
              <w:spacing w:line="300" w:lineRule="auto"/>
              <w:rPr>
                <w:rFonts w:ascii="宋体" w:hAnsi="宋体" w:eastAsia="宋体" w:cs="宋体"/>
                <w:szCs w:val="21"/>
              </w:rPr>
            </w:pPr>
            <w:r>
              <w:rPr>
                <w:rFonts w:hint="eastAsia" w:ascii="宋体" w:hAnsi="宋体" w:eastAsia="宋体" w:cs="宋体"/>
                <w:szCs w:val="21"/>
              </w:rPr>
              <w:t xml:space="preserve">  1、金属喷漆（塑)涂层理化性能:硬度:铅笔法，≥H；冲击强度:质量1000g，冲击高度:400mm；无剥落、裂纹、皱纹；耐腐蚀性:24h乙酸盐雾实验（ASS），不低于7级；附着力（级）:划格法，不低于2级；</w:t>
            </w:r>
          </w:p>
          <w:p>
            <w:pPr>
              <w:widowControl/>
              <w:spacing w:line="300" w:lineRule="auto"/>
              <w:rPr>
                <w:rFonts w:ascii="宋体" w:hAnsi="宋体" w:eastAsia="宋体" w:cs="宋体"/>
                <w:szCs w:val="21"/>
              </w:rPr>
            </w:pPr>
            <w:r>
              <w:rPr>
                <w:rFonts w:hint="eastAsia" w:ascii="宋体" w:hAnsi="宋体" w:eastAsia="宋体" w:cs="宋体"/>
                <w:szCs w:val="21"/>
              </w:rPr>
              <w:t xml:space="preserve">  2、储物柜力学性能:搁板稳定性试验（垂直力）:垂直力100N，空载搁板不应倾翻；检测结果:无倾翻；</w:t>
            </w:r>
          </w:p>
          <w:p>
            <w:pPr>
              <w:widowControl/>
              <w:spacing w:line="300" w:lineRule="auto"/>
              <w:rPr>
                <w:rFonts w:ascii="宋体" w:hAnsi="宋体" w:eastAsia="宋体" w:cs="宋体"/>
                <w:szCs w:val="21"/>
              </w:rPr>
            </w:pPr>
            <w:r>
              <w:rPr>
                <w:rFonts w:hint="eastAsia" w:ascii="宋体" w:hAnsi="宋体" w:eastAsia="宋体" w:cs="宋体"/>
                <w:szCs w:val="21"/>
              </w:rPr>
              <w:t xml:space="preserve">  搁板弯曲试验:均布载荷:1.0kg/dm²，加载时间:金属、玻璃、石材搁板:1h，加载时，搁板挠度≤跨距/200；均布载荷:1.0kg/dm²，加载时间:金属、玻璃、石材搁板:1h，卸载时，搁板挠度≤跨距/1000；</w:t>
            </w:r>
          </w:p>
          <w:p>
            <w:pPr>
              <w:widowControl/>
              <w:spacing w:line="300" w:lineRule="auto"/>
              <w:rPr>
                <w:rFonts w:ascii="宋体" w:hAnsi="宋体" w:eastAsia="宋体" w:cs="宋体"/>
                <w:szCs w:val="21"/>
              </w:rPr>
            </w:pPr>
            <w:r>
              <w:rPr>
                <w:rFonts w:hint="eastAsia" w:ascii="宋体" w:hAnsi="宋体" w:eastAsia="宋体" w:cs="宋体"/>
                <w:szCs w:val="21"/>
              </w:rPr>
              <w:t xml:space="preserve">  搁板支承件强度试验:载荷:1.0kg/dm²，冲技能1.66N.m，10次。位移≤3.0mm；</w:t>
            </w:r>
          </w:p>
          <w:p>
            <w:pPr>
              <w:widowControl/>
              <w:spacing w:line="300" w:lineRule="auto"/>
              <w:rPr>
                <w:rFonts w:ascii="宋体" w:hAnsi="宋体" w:eastAsia="宋体" w:cs="宋体"/>
                <w:szCs w:val="21"/>
              </w:rPr>
            </w:pPr>
            <w:r>
              <w:rPr>
                <w:rFonts w:hint="eastAsia" w:ascii="宋体" w:hAnsi="宋体" w:eastAsia="宋体" w:cs="宋体"/>
                <w:szCs w:val="21"/>
              </w:rPr>
              <w:t xml:space="preserve">  拉门强度试验:质量30kg，10次；</w:t>
            </w:r>
          </w:p>
          <w:p>
            <w:pPr>
              <w:widowControl/>
              <w:spacing w:line="300" w:lineRule="auto"/>
              <w:rPr>
                <w:rFonts w:ascii="宋体" w:hAnsi="宋体" w:eastAsia="宋体" w:cs="宋体"/>
                <w:szCs w:val="21"/>
              </w:rPr>
            </w:pPr>
            <w:r>
              <w:rPr>
                <w:rFonts w:hint="eastAsia" w:ascii="宋体" w:hAnsi="宋体" w:eastAsia="宋体" w:cs="宋体"/>
                <w:szCs w:val="21"/>
              </w:rPr>
              <w:t xml:space="preserve">  拉门水平静载荷试验:力80N，10次；</w:t>
            </w:r>
          </w:p>
          <w:p>
            <w:pPr>
              <w:widowControl/>
              <w:spacing w:line="300" w:lineRule="auto"/>
              <w:rPr>
                <w:rFonts w:ascii="宋体" w:hAnsi="宋体" w:eastAsia="宋体" w:cs="宋体"/>
                <w:szCs w:val="21"/>
              </w:rPr>
            </w:pPr>
            <w:r>
              <w:rPr>
                <w:rFonts w:hint="eastAsia" w:ascii="宋体" w:hAnsi="宋体" w:eastAsia="宋体" w:cs="宋体"/>
                <w:szCs w:val="21"/>
              </w:rPr>
              <w:t xml:space="preserve">  拉门猛开试验:质量3.0kg，10次；</w:t>
            </w:r>
          </w:p>
          <w:p>
            <w:pPr>
              <w:widowControl/>
              <w:spacing w:line="300" w:lineRule="auto"/>
              <w:rPr>
                <w:rFonts w:ascii="宋体" w:hAnsi="宋体" w:eastAsia="宋体" w:cs="宋体"/>
                <w:szCs w:val="21"/>
              </w:rPr>
            </w:pPr>
            <w:r>
              <w:rPr>
                <w:rFonts w:hint="eastAsia" w:ascii="宋体" w:hAnsi="宋体" w:eastAsia="宋体" w:cs="宋体"/>
                <w:szCs w:val="21"/>
              </w:rPr>
              <w:t>拉门耐久度试验:质量2.0kg，循环次数50000次，速率6次/min。</w:t>
            </w:r>
          </w:p>
          <w:p>
            <w:pPr>
              <w:widowControl/>
              <w:spacing w:line="300" w:lineRule="auto"/>
              <w:rPr>
                <w:rFonts w:ascii="宋体" w:hAnsi="宋体" w:eastAsia="宋体" w:cs="宋体"/>
                <w:szCs w:val="21"/>
              </w:rPr>
            </w:pPr>
            <w:r>
              <w:rPr>
                <w:rFonts w:hint="eastAsia" w:ascii="宋体" w:hAnsi="宋体" w:eastAsia="宋体" w:cs="宋体"/>
                <w:szCs w:val="21"/>
              </w:rPr>
              <w:t xml:space="preserve">  过载试验:7d，</w:t>
            </w:r>
          </w:p>
          <w:p>
            <w:pPr>
              <w:widowControl/>
              <w:spacing w:line="300" w:lineRule="auto"/>
              <w:rPr>
                <w:rFonts w:ascii="宋体" w:hAnsi="宋体" w:eastAsia="宋体" w:cs="宋体"/>
                <w:szCs w:val="21"/>
              </w:rPr>
            </w:pPr>
            <w:r>
              <w:rPr>
                <w:rFonts w:hint="eastAsia" w:ascii="宋体" w:hAnsi="宋体" w:eastAsia="宋体" w:cs="宋体"/>
                <w:szCs w:val="21"/>
              </w:rPr>
              <w:t xml:space="preserve">  空载稳定性试验:力矩200N.M，不应倾翻；检测结果:无倾翻；</w:t>
            </w:r>
          </w:p>
          <w:p>
            <w:pPr>
              <w:widowControl/>
              <w:spacing w:line="300" w:lineRule="auto"/>
              <w:rPr>
                <w:rFonts w:ascii="宋体" w:hAnsi="宋体" w:eastAsia="宋体" w:cs="宋体"/>
                <w:szCs w:val="21"/>
              </w:rPr>
            </w:pPr>
            <w:r>
              <w:rPr>
                <w:rFonts w:hint="eastAsia" w:ascii="宋体" w:hAnsi="宋体" w:eastAsia="宋体" w:cs="宋体"/>
                <w:szCs w:val="21"/>
              </w:rPr>
              <w:t xml:space="preserve">  活动部件垂直加载稳定性试验:搁板、折板、底板:载荷1.00kg/dm²，不应倾翻；检测结果:无倾翻；</w:t>
            </w:r>
          </w:p>
          <w:p>
            <w:pPr>
              <w:widowControl/>
              <w:spacing w:line="300" w:lineRule="auto"/>
              <w:rPr>
                <w:rFonts w:ascii="宋体" w:hAnsi="宋体" w:eastAsia="宋体" w:cs="宋体"/>
                <w:szCs w:val="21"/>
              </w:rPr>
            </w:pPr>
            <w:r>
              <w:rPr>
                <w:rFonts w:hint="eastAsia" w:ascii="宋体" w:hAnsi="宋体" w:eastAsia="宋体" w:cs="宋体"/>
                <w:szCs w:val="21"/>
              </w:rPr>
              <w:t xml:space="preserve">  主体结构和底架的强度:力300N，10次；</w:t>
            </w:r>
          </w:p>
          <w:p>
            <w:pPr>
              <w:widowControl/>
              <w:spacing w:line="300" w:lineRule="auto"/>
              <w:rPr>
                <w:rFonts w:ascii="宋体" w:hAnsi="宋体" w:eastAsia="宋体" w:cs="宋体"/>
                <w:szCs w:val="21"/>
              </w:rPr>
            </w:pPr>
            <w:r>
              <w:rPr>
                <w:rFonts w:hint="eastAsia" w:ascii="宋体" w:hAnsi="宋体" w:eastAsia="宋体" w:cs="宋体"/>
                <w:kern w:val="0"/>
                <w:szCs w:val="21"/>
              </w:rPr>
              <w:t>★需</w:t>
            </w:r>
            <w:r>
              <w:rPr>
                <w:rFonts w:hint="eastAsia" w:ascii="宋体" w:hAnsi="宋体" w:eastAsia="宋体" w:cs="宋体"/>
                <w:szCs w:val="21"/>
              </w:rPr>
              <w:t>提供由生产厂家送检满足以上技术要求具有CMA、CAL、ilac-MRA、CNAS认证的由省级或省级以上检测机构出具的仪器柜检测报告复印件。</w:t>
            </w:r>
          </w:p>
          <w:p>
            <w:pPr>
              <w:spacing w:line="300" w:lineRule="auto"/>
              <w:rPr>
                <w:rFonts w:ascii="宋体" w:hAnsi="宋体" w:eastAsia="宋体" w:cs="宋体"/>
                <w:szCs w:val="21"/>
              </w:rPr>
            </w:pP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药品柜（台阶式）</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规格:</w:t>
            </w:r>
            <w:r>
              <w:rPr>
                <w:rFonts w:hint="eastAsia" w:ascii="宋体" w:hAnsi="宋体" w:eastAsia="宋体" w:cs="宋体"/>
                <w:szCs w:val="21"/>
              </w:rPr>
              <w:t>≥</w:t>
            </w:r>
            <w:r>
              <w:rPr>
                <w:rFonts w:hint="eastAsia" w:ascii="宋体" w:hAnsi="宋体" w:eastAsia="宋体" w:cs="宋体"/>
                <w:color w:val="000000"/>
                <w:kern w:val="0"/>
                <w:szCs w:val="21"/>
              </w:rPr>
              <w:t>1000*500*2000mm。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结构:铝木结构。铝框架结构，立柱采用36*27.5*1.0mm的一体成型带凹槽铝合金模具框架，表面经酸砂处理后喷塑，橱体基材采用16 mm厚E1级三聚氰胺板，其截面用2mm厚PVC封边条机械高温热熔胶封边，嵌在铝合金凹槽内，具有粘力强、密封性好，牢固、美观、耐用的特点；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连接件:ABS专用连接组装件；</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隔板:上部配置阶梯层板为16mm三聚氰胺板，方便药品及仪器放置分类；</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上柜两扇外开磨边4mm厚钢化玻璃门，门玻璃四周镶嵌ABS黑色装饰条（玻璃门门框采用一块整版制作，不拼接），下柜两扇，双开木门。设活动隔板一块，钢支架加固；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脚垫:采用特制模具优质注塑脚垫，高度为2.5cm，高度可调，可有效防潮。</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多功能移动水槽台</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规格尺寸:≥500×600×1030mm/水槽深度≥270mm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1、水槽台上部为多功能安装平台采用≥3.8mm厚工程塑料整体模具注塑成型，多功能平台集成有给排水快速接口、信号控制接口、低压学生电源、三联水嘴、8试管位滴水架。</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2、低压学生电源固定安装于两侧，接收智能化控制系统控制，低压交流电源2-30V/3A（2V一档）（短路、过载自动保护、自动复位）；低压直流电源:1.25V-30V/3A，学生可进行微调；交直流电压均采用数码显示；</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3、水槽与台面采用≥3.8mm厚工程塑料整体模具一体注塑成型，台面设有溢水口及台式洗眼器，内部集成自动水位控制系统，四周边缘设计挡水边。</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4、三联水嘴采用工程塑料模具注塑成型。</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5、水槽台采用双层过滤结构，水槽下水口带有过滤网，水槽台中部配备抽屉式过滤层并安装通锁，背面预留检修口。</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6、水槽内设有水位传感器及排水装置，有自动排水和手动及紧急排水功能，将废水自动排出。摇臂设有自检测功能，当水槽电缆与摇臂相连时，摇臂处于使用状态，摇臂处于锁定状态，不能升降，避免各种误操作。</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 xml:space="preserve">7、水槽台底部安装静音万向轮。 </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三</w:t>
            </w:r>
          </w:p>
        </w:tc>
        <w:tc>
          <w:tcPr>
            <w:tcW w:w="755" w:type="pct"/>
            <w:shd w:val="clear" w:color="auto" w:fill="auto"/>
            <w:vAlign w:val="center"/>
          </w:tcPr>
          <w:p>
            <w:pPr>
              <w:autoSpaceDE w:val="0"/>
              <w:autoSpaceDN w:val="0"/>
              <w:adjustRightInd w:val="0"/>
              <w:spacing w:line="300" w:lineRule="auto"/>
              <w:jc w:val="center"/>
              <w:rPr>
                <w:rFonts w:ascii="宋体" w:hAnsi="宋体" w:eastAsia="宋体" w:cs="宋体"/>
                <w:kern w:val="0"/>
                <w:szCs w:val="21"/>
              </w:rPr>
            </w:pPr>
          </w:p>
        </w:tc>
        <w:tc>
          <w:tcPr>
            <w:tcW w:w="3052"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b/>
                <w:color w:val="000000"/>
                <w:kern w:val="0"/>
                <w:szCs w:val="21"/>
              </w:rPr>
              <w:t>生物药品仪器室</w:t>
            </w:r>
          </w:p>
        </w:tc>
        <w:tc>
          <w:tcPr>
            <w:tcW w:w="374" w:type="pct"/>
            <w:shd w:val="clear" w:color="auto" w:fill="auto"/>
            <w:vAlign w:val="center"/>
          </w:tcPr>
          <w:p>
            <w:pPr>
              <w:widowControl/>
              <w:spacing w:line="300" w:lineRule="auto"/>
              <w:jc w:val="center"/>
              <w:rPr>
                <w:rFonts w:ascii="宋体" w:hAnsi="宋体" w:eastAsia="宋体" w:cs="宋体"/>
                <w:kern w:val="0"/>
                <w:szCs w:val="21"/>
              </w:rPr>
            </w:pPr>
          </w:p>
        </w:tc>
        <w:tc>
          <w:tcPr>
            <w:tcW w:w="445" w:type="pct"/>
            <w:shd w:val="clear" w:color="auto" w:fill="auto"/>
            <w:vAlign w:val="center"/>
          </w:tcPr>
          <w:p>
            <w:pPr>
              <w:widowControl/>
              <w:spacing w:line="300" w:lineRule="auto"/>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单目生物显微镜</w:t>
            </w:r>
          </w:p>
        </w:tc>
        <w:tc>
          <w:tcPr>
            <w:tcW w:w="3052" w:type="pct"/>
            <w:shd w:val="clear" w:color="auto" w:fill="auto"/>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总放大倍数:40X-640X。</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目镜:H10X  H16X。</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观察镜筒:单目直镜筒。</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物镜:4X 10X 40X(弹)。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转换器:三孔。</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调焦机构:粗调范围:50mm,微调范围:1.8mm-2.2mm。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载物台:固定方平台，切片夹，大小:</w:t>
            </w:r>
            <w:r>
              <w:rPr>
                <w:rFonts w:hint="eastAsia" w:ascii="宋体" w:hAnsi="宋体" w:eastAsia="宋体" w:cs="宋体"/>
                <w:kern w:val="0"/>
                <w:szCs w:val="21"/>
              </w:rPr>
              <w:t>≥</w:t>
            </w:r>
            <w:r>
              <w:rPr>
                <w:rFonts w:hint="eastAsia" w:ascii="宋体" w:hAnsi="宋体" w:eastAsia="宋体" w:cs="宋体"/>
                <w:color w:val="000000"/>
                <w:kern w:val="0"/>
                <w:szCs w:val="21"/>
              </w:rPr>
              <w:t>120mm×120mm。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旋转光阑板:φ3.2、φ4、φ5、φ8、φ15。</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聚光镜:单透镜，N.A=1.25,拨盘光阑。</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光源:平凹反光镜，φ50mm。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机身材料:金属。</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包装:纸箱+尼龙包双层保护。</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产品尺寸:高:</w:t>
            </w:r>
            <w:r>
              <w:rPr>
                <w:rFonts w:hint="eastAsia" w:ascii="宋体" w:hAnsi="宋体" w:eastAsia="宋体" w:cs="宋体"/>
                <w:kern w:val="0"/>
                <w:szCs w:val="21"/>
              </w:rPr>
              <w:t>≥</w:t>
            </w:r>
            <w:r>
              <w:rPr>
                <w:rFonts w:hint="eastAsia" w:ascii="宋体" w:hAnsi="宋体" w:eastAsia="宋体" w:cs="宋体"/>
                <w:color w:val="000000"/>
                <w:kern w:val="0"/>
                <w:szCs w:val="21"/>
              </w:rPr>
              <w:t>31.3cm，宽:</w:t>
            </w:r>
            <w:r>
              <w:rPr>
                <w:rFonts w:hint="eastAsia" w:ascii="宋体" w:hAnsi="宋体" w:eastAsia="宋体" w:cs="宋体"/>
                <w:kern w:val="0"/>
                <w:szCs w:val="21"/>
              </w:rPr>
              <w:t>≥</w:t>
            </w:r>
            <w:r>
              <w:rPr>
                <w:rFonts w:hint="eastAsia" w:ascii="宋体" w:hAnsi="宋体" w:eastAsia="宋体" w:cs="宋体"/>
                <w:color w:val="000000"/>
                <w:kern w:val="0"/>
                <w:szCs w:val="21"/>
              </w:rPr>
              <w:t>18cm，底座宽:</w:t>
            </w:r>
            <w:r>
              <w:rPr>
                <w:rFonts w:hint="eastAsia" w:ascii="宋体" w:hAnsi="宋体" w:eastAsia="宋体" w:cs="宋体"/>
                <w:kern w:val="0"/>
                <w:szCs w:val="21"/>
              </w:rPr>
              <w:t>≥</w:t>
            </w:r>
            <w:r>
              <w:rPr>
                <w:rFonts w:hint="eastAsia" w:ascii="宋体" w:hAnsi="宋体" w:eastAsia="宋体" w:cs="宋体"/>
                <w:color w:val="000000"/>
                <w:kern w:val="0"/>
                <w:szCs w:val="21"/>
              </w:rPr>
              <w:t>12.2cm。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产品清单:显微镜*1 10X，目镜*1 16X，目镜*1 4X、10X、40X物镜*1 说明书*1 合格证*1 反光镜*1 (以上为标配)。</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多功能移动水槽台</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规格尺寸:≥500×600×1030mm/水槽深度≥270mm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1、水槽台上部为多功能安装平台采用≥3.8mm厚工程塑料整体模具注塑成型，多功能平台集成有给排水快速接口、信号控制接口、低压学生电源、三联水嘴、8试管位滴水架。</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2、低压学生电源固定安装于两侧，接收智能化控制系统控制，低压交流电源2-30V/3A（2V一档）（短路、过载自动保护、自动复位）；低压直流电源:1.25V-30V/3A，学生可进行微调；交直流电压均采用数码显示；</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3、水槽与台面采用≥3.8mm厚工程塑料整体模具一体注塑成型，台面设有溢水口及台式洗眼器，内部集成自动水位控制系统，四周边缘设计挡水边。</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4、三联水嘴采用工程塑料模具注塑成型。</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5、水槽台采用双层过滤结构，水槽下水口带有过滤网，水槽台中部配备抽屉式过滤层并安装通锁，背面预留检修口。</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6、水槽内设有水位传感器及排水装置，有自动排水和手动及紧急排水功能，将废水自动排出。摇臂设有自检测功能，当水槽电缆与摇臂相连时，摇臂处于使用状态，摇臂处于锁定状态，不能升降，避免各种误操作。</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 xml:space="preserve">7、水槽台底部安装静音万向轮。 </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b/>
                <w:bCs/>
                <w:color w:val="000000"/>
                <w:kern w:val="0"/>
                <w:szCs w:val="21"/>
              </w:rPr>
              <w:t>四</w:t>
            </w:r>
          </w:p>
        </w:tc>
        <w:tc>
          <w:tcPr>
            <w:tcW w:w="755" w:type="pct"/>
            <w:shd w:val="clear" w:color="auto" w:fill="auto"/>
            <w:vAlign w:val="center"/>
          </w:tcPr>
          <w:p>
            <w:pPr>
              <w:spacing w:line="300" w:lineRule="auto"/>
              <w:jc w:val="center"/>
              <w:rPr>
                <w:rFonts w:ascii="宋体" w:hAnsi="宋体" w:eastAsia="宋体" w:cs="宋体"/>
                <w:kern w:val="0"/>
                <w:szCs w:val="21"/>
              </w:rPr>
            </w:pPr>
          </w:p>
        </w:tc>
        <w:tc>
          <w:tcPr>
            <w:tcW w:w="3052"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b/>
                <w:color w:val="000000"/>
                <w:kern w:val="0"/>
                <w:szCs w:val="21"/>
              </w:rPr>
              <w:t>化学实验室</w:t>
            </w:r>
          </w:p>
          <w:p>
            <w:pPr>
              <w:spacing w:line="480" w:lineRule="exact"/>
              <w:rPr>
                <w:rFonts w:ascii="宋体" w:hAnsi="宋体" w:eastAsia="宋体" w:cs="宋体"/>
                <w:szCs w:val="21"/>
              </w:rPr>
            </w:pPr>
            <w:r>
              <w:rPr>
                <w:rFonts w:hint="eastAsia" w:ascii="宋体" w:hAnsi="宋体" w:eastAsia="宋体" w:cs="宋体"/>
                <w:kern w:val="0"/>
                <w:szCs w:val="21"/>
              </w:rPr>
              <w:t>★投标人需提供吊顶安装可升降集成系统（专业型）产品外观、部件、机械性安全、智能控制电器柜防电击、安装结构、功能、接地电阻、管道符合国家标准规范的检测报告复印件。</w:t>
            </w:r>
          </w:p>
        </w:tc>
        <w:tc>
          <w:tcPr>
            <w:tcW w:w="374" w:type="pct"/>
            <w:shd w:val="clear" w:color="auto" w:fill="auto"/>
            <w:vAlign w:val="center"/>
          </w:tcPr>
          <w:p>
            <w:pPr>
              <w:widowControl/>
              <w:spacing w:line="300" w:lineRule="auto"/>
              <w:jc w:val="center"/>
              <w:rPr>
                <w:rFonts w:ascii="宋体" w:hAnsi="宋体" w:eastAsia="宋体" w:cs="宋体"/>
                <w:kern w:val="0"/>
                <w:szCs w:val="21"/>
              </w:rPr>
            </w:pPr>
          </w:p>
        </w:tc>
        <w:tc>
          <w:tcPr>
            <w:tcW w:w="445" w:type="pct"/>
            <w:shd w:val="clear" w:color="auto" w:fill="auto"/>
            <w:vAlign w:val="center"/>
          </w:tcPr>
          <w:p>
            <w:pPr>
              <w:widowControl/>
              <w:spacing w:line="300" w:lineRule="auto"/>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化学学生实验桌</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规格:≥1200×600×780mm</w:t>
            </w:r>
            <w:r>
              <w:rPr>
                <w:rFonts w:hint="eastAsia" w:ascii="宋体" w:hAnsi="宋体" w:eastAsia="宋体" w:cs="宋体"/>
                <w:kern w:val="0"/>
                <w:szCs w:val="21"/>
              </w:rPr>
              <w:br w:type="textWrapping"/>
            </w:r>
            <w:r>
              <w:rPr>
                <w:rFonts w:hint="eastAsia" w:ascii="宋体" w:hAnsi="宋体" w:eastAsia="宋体" w:cs="宋体"/>
                <w:kern w:val="0"/>
                <w:szCs w:val="21"/>
              </w:rPr>
              <w:t>台面:一体化陶瓷台面，台面经过上釉工艺处理，具有耐高温（长时间耐温1300度）、耐刻刮、防静电、耐腐蚀、防垢易清洁、防霉、防水等最佳物理性能和化学性能，四周边缘采用≥35mm厚工程塑料一体注塑成型进行包边，减少桌体间机械碰撞，前沿设≥50mm高挡水边，可有效阻挡仪器滑落。</w:t>
            </w:r>
            <w:r>
              <w:rPr>
                <w:rFonts w:hint="eastAsia" w:ascii="宋体" w:hAnsi="宋体" w:eastAsia="宋体" w:cs="宋体"/>
                <w:kern w:val="0"/>
                <w:szCs w:val="21"/>
              </w:rPr>
              <w:br w:type="textWrapping"/>
            </w:r>
            <w:r>
              <w:rPr>
                <w:rFonts w:hint="eastAsia" w:ascii="宋体" w:hAnsi="宋体" w:eastAsia="宋体" w:cs="宋体"/>
                <w:kern w:val="0"/>
                <w:szCs w:val="21"/>
              </w:rPr>
              <w:t xml:space="preserve">★参照GB/T4100-2015、GB6566-2010相关标准，台面品质检测结果符合或超过以下参数: </w:t>
            </w:r>
            <w:r>
              <w:rPr>
                <w:rFonts w:hint="eastAsia" w:ascii="宋体" w:hAnsi="宋体" w:eastAsia="宋体" w:cs="宋体"/>
                <w:kern w:val="0"/>
                <w:szCs w:val="21"/>
              </w:rPr>
              <w:br w:type="textWrapping"/>
            </w:r>
            <w:r>
              <w:rPr>
                <w:rFonts w:hint="eastAsia" w:ascii="宋体" w:hAnsi="宋体" w:eastAsia="宋体" w:cs="宋体"/>
                <w:kern w:val="0"/>
                <w:szCs w:val="21"/>
              </w:rPr>
              <w:t>吸水率≤0.5%</w:t>
            </w:r>
            <w:r>
              <w:rPr>
                <w:rFonts w:hint="eastAsia" w:ascii="宋体" w:hAnsi="宋体" w:eastAsia="宋体" w:cs="宋体"/>
                <w:kern w:val="0"/>
                <w:szCs w:val="21"/>
              </w:rPr>
              <w:br w:type="textWrapping"/>
            </w:r>
            <w:r>
              <w:rPr>
                <w:rFonts w:hint="eastAsia" w:ascii="宋体" w:hAnsi="宋体" w:eastAsia="宋体" w:cs="宋体"/>
                <w:kern w:val="0"/>
                <w:szCs w:val="21"/>
              </w:rPr>
              <w:t>断裂模数≥35.0MPa</w:t>
            </w:r>
            <w:r>
              <w:rPr>
                <w:rFonts w:hint="eastAsia" w:ascii="宋体" w:hAnsi="宋体" w:eastAsia="宋体" w:cs="宋体"/>
                <w:kern w:val="0"/>
                <w:szCs w:val="21"/>
              </w:rPr>
              <w:br w:type="textWrapping"/>
            </w:r>
            <w:r>
              <w:rPr>
                <w:rFonts w:hint="eastAsia" w:ascii="宋体" w:hAnsi="宋体" w:eastAsia="宋体" w:cs="宋体"/>
                <w:kern w:val="0"/>
                <w:szCs w:val="21"/>
              </w:rPr>
              <w:t>破坏强度≥1300N</w:t>
            </w:r>
            <w:r>
              <w:rPr>
                <w:rFonts w:hint="eastAsia" w:ascii="宋体" w:hAnsi="宋体" w:eastAsia="宋体" w:cs="宋体"/>
                <w:kern w:val="0"/>
                <w:szCs w:val="21"/>
              </w:rPr>
              <w:br w:type="textWrapping"/>
            </w:r>
            <w:r>
              <w:rPr>
                <w:rFonts w:hint="eastAsia" w:ascii="宋体" w:hAnsi="宋体" w:eastAsia="宋体" w:cs="宋体"/>
                <w:kern w:val="0"/>
                <w:szCs w:val="21"/>
              </w:rPr>
              <w:t>耐污染性不低于3级</w:t>
            </w:r>
            <w:r>
              <w:rPr>
                <w:rFonts w:hint="eastAsia" w:ascii="宋体" w:hAnsi="宋体" w:eastAsia="宋体" w:cs="宋体"/>
                <w:kern w:val="0"/>
                <w:szCs w:val="21"/>
              </w:rPr>
              <w:br w:type="textWrapping"/>
            </w:r>
            <w:r>
              <w:rPr>
                <w:rFonts w:hint="eastAsia" w:ascii="宋体" w:hAnsi="宋体" w:eastAsia="宋体" w:cs="宋体"/>
                <w:kern w:val="0"/>
                <w:szCs w:val="21"/>
              </w:rPr>
              <w:t>耐磨性不低于4级2000转</w:t>
            </w:r>
            <w:r>
              <w:rPr>
                <w:rFonts w:hint="eastAsia" w:ascii="宋体" w:hAnsi="宋体" w:eastAsia="宋体" w:cs="宋体"/>
                <w:kern w:val="0"/>
                <w:szCs w:val="21"/>
              </w:rPr>
              <w:br w:type="textWrapping"/>
            </w:r>
            <w:r>
              <w:rPr>
                <w:rFonts w:hint="eastAsia" w:ascii="宋体" w:hAnsi="宋体" w:eastAsia="宋体" w:cs="宋体"/>
                <w:kern w:val="0"/>
                <w:szCs w:val="21"/>
              </w:rPr>
              <w:t>耐冲击性≥0.75</w:t>
            </w:r>
            <w:r>
              <w:rPr>
                <w:rFonts w:hint="eastAsia" w:ascii="宋体" w:hAnsi="宋体" w:eastAsia="宋体" w:cs="宋体"/>
                <w:kern w:val="0"/>
                <w:szCs w:val="21"/>
              </w:rPr>
              <w:br w:type="textWrapping"/>
            </w:r>
            <w:r>
              <w:rPr>
                <w:rFonts w:hint="eastAsia" w:ascii="宋体" w:hAnsi="宋体" w:eastAsia="宋体" w:cs="宋体"/>
                <w:kern w:val="0"/>
                <w:szCs w:val="21"/>
              </w:rPr>
              <w:t>放射性 A类≤1.0</w:t>
            </w:r>
            <w:r>
              <w:rPr>
                <w:rFonts w:hint="eastAsia" w:ascii="宋体" w:hAnsi="宋体" w:eastAsia="宋体" w:cs="宋体"/>
                <w:kern w:val="0"/>
                <w:szCs w:val="21"/>
              </w:rPr>
              <w:br w:type="textWrapping"/>
            </w:r>
            <w:r>
              <w:rPr>
                <w:rFonts w:hint="eastAsia" w:ascii="宋体" w:hAnsi="宋体" w:eastAsia="宋体" w:cs="宋体"/>
                <w:kern w:val="0"/>
                <w:szCs w:val="21"/>
              </w:rPr>
              <w:t>压缩强度≥130MPa</w:t>
            </w:r>
            <w:r>
              <w:rPr>
                <w:rFonts w:hint="eastAsia" w:ascii="宋体" w:hAnsi="宋体" w:eastAsia="宋体" w:cs="宋体"/>
                <w:kern w:val="0"/>
                <w:szCs w:val="21"/>
              </w:rPr>
              <w:br w:type="textWrapping"/>
            </w:r>
            <w:r>
              <w:rPr>
                <w:rFonts w:hint="eastAsia" w:ascii="宋体" w:hAnsi="宋体" w:eastAsia="宋体" w:cs="宋体"/>
                <w:kern w:val="0"/>
                <w:szCs w:val="21"/>
              </w:rPr>
              <w:t>表面耐划痕≥1级</w:t>
            </w:r>
            <w:r>
              <w:rPr>
                <w:rFonts w:hint="eastAsia" w:ascii="宋体" w:hAnsi="宋体" w:eastAsia="宋体" w:cs="宋体"/>
                <w:kern w:val="0"/>
                <w:szCs w:val="21"/>
              </w:rPr>
              <w:br w:type="textWrapping"/>
            </w:r>
            <w:r>
              <w:rPr>
                <w:rFonts w:hint="eastAsia" w:ascii="宋体" w:hAnsi="宋体" w:eastAsia="宋体" w:cs="宋体"/>
                <w:kern w:val="0"/>
                <w:szCs w:val="21"/>
              </w:rPr>
              <w:t>洛氏硬度≥50.0HRC</w:t>
            </w:r>
            <w:r>
              <w:rPr>
                <w:rFonts w:hint="eastAsia" w:ascii="宋体" w:hAnsi="宋体" w:eastAsia="宋体" w:cs="宋体"/>
                <w:kern w:val="0"/>
                <w:szCs w:val="21"/>
              </w:rPr>
              <w:br w:type="textWrapping"/>
            </w:r>
            <w:r>
              <w:rPr>
                <w:rFonts w:hint="eastAsia" w:ascii="宋体" w:hAnsi="宋体" w:eastAsia="宋体" w:cs="宋体"/>
                <w:kern w:val="0"/>
                <w:szCs w:val="21"/>
              </w:rPr>
              <w:t>耐化学腐蚀性:98%硫酸、65%硝酸、37%盐酸、80%磷酸、乙酸、40%氢氧化钾、40%氢氧化钠、10%双氧水、氯苯、四氯化碳、37%甲醛等试剂/溶液测试表面无明显变化。</w:t>
            </w:r>
            <w:r>
              <w:rPr>
                <w:rFonts w:hint="eastAsia" w:ascii="宋体" w:hAnsi="宋体" w:eastAsia="宋体" w:cs="宋体"/>
                <w:kern w:val="0"/>
                <w:szCs w:val="21"/>
              </w:rPr>
              <w:br w:type="textWrapping"/>
            </w:r>
            <w:r>
              <w:rPr>
                <w:rFonts w:hint="eastAsia" w:ascii="宋体" w:hAnsi="宋体" w:eastAsia="宋体" w:cs="宋体"/>
                <w:kern w:val="0"/>
                <w:szCs w:val="21"/>
              </w:rPr>
              <w:t>桌体:新钢塑镂空结构（工字形）</w:t>
            </w:r>
            <w:r>
              <w:rPr>
                <w:rFonts w:hint="eastAsia" w:ascii="宋体" w:hAnsi="宋体" w:eastAsia="宋体" w:cs="宋体"/>
                <w:kern w:val="0"/>
                <w:szCs w:val="21"/>
              </w:rPr>
              <w:br w:type="textWrapping"/>
            </w:r>
            <w:r>
              <w:rPr>
                <w:rFonts w:hint="eastAsia" w:ascii="宋体" w:hAnsi="宋体" w:eastAsia="宋体" w:cs="宋体"/>
                <w:kern w:val="0"/>
                <w:szCs w:val="21"/>
              </w:rPr>
              <w:t>桌脚:内置承重部分采用≥60×40×1.6mm矩形铝镁合金，横档采用≥30×40×1.6mm矩形铝镁合金，通过合金压铸角铁组装成“工”字形（使整体框架结构更为合理，增强桌体承重性及整体稳定性）；外置装饰柱、装饰盖均采用ABS工程塑料一次注塑成型，外表为流线形设计，具有防潮、防水、防腐、防酸碱功能。</w:t>
            </w:r>
            <w:r>
              <w:rPr>
                <w:rFonts w:hint="eastAsia" w:ascii="宋体" w:hAnsi="宋体" w:eastAsia="宋体" w:cs="宋体"/>
                <w:kern w:val="0"/>
                <w:szCs w:val="21"/>
              </w:rPr>
              <w:br w:type="textWrapping"/>
            </w:r>
            <w:r>
              <w:rPr>
                <w:rFonts w:hint="eastAsia" w:ascii="宋体" w:hAnsi="宋体" w:eastAsia="宋体" w:cs="宋体"/>
                <w:kern w:val="0"/>
                <w:szCs w:val="21"/>
              </w:rPr>
              <w:t>书包盒:规格:≥425*305*110mm（每组2个），采用ABS工程塑料一次注塑成型，预留学生凳挂靠口；固定横梁采用≥30×30×1.2mm矩形钢构件，书包挂架采用≥20×30×1.2mm矩形钢构件，钢构件表面经酸洗、磷化、喷塑处理，框架横梁与桌脚之间均采用PC＋ABS工程塑料合金连插件连接。</w:t>
            </w:r>
            <w:r>
              <w:rPr>
                <w:rFonts w:hint="eastAsia" w:ascii="宋体" w:hAnsi="宋体" w:eastAsia="宋体" w:cs="宋体"/>
                <w:kern w:val="0"/>
                <w:szCs w:val="21"/>
              </w:rPr>
              <w:br w:type="textWrapping"/>
            </w:r>
            <w:r>
              <w:rPr>
                <w:rFonts w:hint="eastAsia" w:ascii="宋体" w:hAnsi="宋体" w:eastAsia="宋体" w:cs="宋体"/>
                <w:kern w:val="0"/>
                <w:szCs w:val="21"/>
              </w:rPr>
              <w:t>吊板:采用≥2mm厚冷轧钢板折弯成型，表面经酸洗、磷化、喷塑处理，吊板离地≥550mm（每组桌除两侧的桌腿外，整个下面是镂空的，便于打扫卫生）。</w:t>
            </w:r>
            <w:r>
              <w:rPr>
                <w:rFonts w:hint="eastAsia" w:ascii="宋体" w:hAnsi="宋体" w:eastAsia="宋体" w:cs="宋体"/>
                <w:kern w:val="0"/>
                <w:szCs w:val="21"/>
              </w:rPr>
              <w:br w:type="textWrapping"/>
            </w:r>
            <w:r>
              <w:rPr>
                <w:rFonts w:hint="eastAsia" w:ascii="宋体" w:hAnsi="宋体" w:eastAsia="宋体" w:cs="宋体"/>
                <w:kern w:val="0"/>
                <w:szCs w:val="21"/>
              </w:rPr>
              <w:t>可调脚:采用进口ABS耐蚀注塑专用垫。具有高度可调、耐磨、防潮、耐腐蚀等特点。</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★投标人需提供所投产品“化学学生实验桌”关于外观、含水率、甲醛释放量、理化性能（耐冷热循环、耐划痕、耐灼烧、抗冲击、耐磨、耐干热）均符合GB/T3324及GB18580中关于甲醛放限量标准的检验报告。</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智能控制电气柜</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规格:≥900×400×1800mm；</w:t>
            </w:r>
            <w:r>
              <w:rPr>
                <w:rFonts w:hint="eastAsia" w:ascii="宋体" w:hAnsi="宋体" w:eastAsia="宋体" w:cs="宋体"/>
                <w:kern w:val="0"/>
                <w:szCs w:val="21"/>
              </w:rPr>
              <w:br w:type="textWrapping"/>
            </w:r>
            <w:r>
              <w:rPr>
                <w:rFonts w:hint="eastAsia" w:ascii="宋体" w:hAnsi="宋体" w:eastAsia="宋体" w:cs="宋体"/>
                <w:kern w:val="0"/>
                <w:szCs w:val="21"/>
              </w:rPr>
              <w:t>智能控制电气柜内置总电源开关1个，电源保护器1个，PLC控制器及功能扩展模块1套，PLC专用电源1个，PLC保护模块1个、急停控制系统1个，工作指示灯1个，分组控制系统。</w:t>
            </w:r>
            <w:r>
              <w:rPr>
                <w:rFonts w:hint="eastAsia" w:ascii="宋体" w:hAnsi="宋体" w:eastAsia="宋体" w:cs="宋体"/>
                <w:kern w:val="0"/>
                <w:szCs w:val="21"/>
              </w:rPr>
              <w:br w:type="textWrapping"/>
            </w:r>
            <w:r>
              <w:rPr>
                <w:rFonts w:hint="eastAsia" w:ascii="宋体" w:hAnsi="宋体" w:eastAsia="宋体" w:cs="宋体"/>
                <w:kern w:val="0"/>
                <w:szCs w:val="21"/>
              </w:rPr>
              <w:t>（1）电源控制系统:PLC智能化控制系统集中控制，可分组控制AC220V电源，具有过载、短路等保护功能；</w:t>
            </w:r>
            <w:r>
              <w:rPr>
                <w:rFonts w:hint="eastAsia" w:ascii="宋体" w:hAnsi="宋体" w:eastAsia="宋体" w:cs="宋体"/>
                <w:kern w:val="0"/>
                <w:szCs w:val="21"/>
              </w:rPr>
              <w:br w:type="textWrapping"/>
            </w:r>
            <w:r>
              <w:rPr>
                <w:rFonts w:hint="eastAsia" w:ascii="宋体" w:hAnsi="宋体" w:eastAsia="宋体" w:cs="宋体"/>
                <w:kern w:val="0"/>
                <w:szCs w:val="21"/>
              </w:rPr>
              <w:t>（2）照明控制系统:PLC智能化控制系统集中控制，可分组控制日光灯，具有过载、短路等保护功能；</w:t>
            </w:r>
            <w:r>
              <w:rPr>
                <w:rFonts w:hint="eastAsia" w:ascii="宋体" w:hAnsi="宋体" w:eastAsia="宋体" w:cs="宋体"/>
                <w:kern w:val="0"/>
                <w:szCs w:val="21"/>
              </w:rPr>
              <w:br w:type="textWrapping"/>
            </w:r>
            <w:r>
              <w:rPr>
                <w:rFonts w:hint="eastAsia" w:ascii="宋体" w:hAnsi="宋体" w:eastAsia="宋体" w:cs="宋体"/>
                <w:kern w:val="0"/>
                <w:szCs w:val="21"/>
              </w:rPr>
              <w:t>（3）给排水控制系统:给水系统:设有总给水控制阀门，教师可以方便对全室供水系统进行控制，操作面板设计给水接口，接口与多功能移动水槽台采用优质PVC软管连接，接口均采用自动锁紧插拔式连接方式，用时接上，不用时可收起。</w:t>
            </w:r>
            <w:r>
              <w:rPr>
                <w:rFonts w:hint="eastAsia" w:ascii="宋体" w:hAnsi="宋体" w:eastAsia="宋体" w:cs="宋体"/>
                <w:kern w:val="0"/>
                <w:szCs w:val="21"/>
              </w:rPr>
              <w:br w:type="textWrapping"/>
            </w:r>
            <w:r>
              <w:rPr>
                <w:rFonts w:hint="eastAsia" w:ascii="宋体" w:hAnsi="宋体" w:eastAsia="宋体" w:cs="宋体"/>
                <w:kern w:val="0"/>
                <w:szCs w:val="21"/>
              </w:rPr>
              <w:t>自动排水系统:所有排水由智能化控制系统集中控制，操作面板设计设置排水接口，接口与多功能移动水槽台采用优质PVC软管（具有防酸、防碱、耐腐蚀功能）连接，接口均采用自动锁紧插拔式连接方式（拔掉时没有污水流出），用时接上，不用时可收起。</w:t>
            </w:r>
            <w:r>
              <w:rPr>
                <w:rFonts w:hint="eastAsia" w:ascii="宋体" w:hAnsi="宋体" w:eastAsia="宋体" w:cs="宋体"/>
                <w:kern w:val="0"/>
                <w:szCs w:val="21"/>
              </w:rPr>
              <w:br w:type="textWrapping"/>
            </w:r>
            <w:r>
              <w:rPr>
                <w:rFonts w:hint="eastAsia" w:ascii="宋体" w:hAnsi="宋体" w:eastAsia="宋体" w:cs="宋体"/>
                <w:kern w:val="0"/>
                <w:szCs w:val="21"/>
              </w:rPr>
              <w:t>（4）通风控制系统:采用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rPr>
                <w:rFonts w:hint="eastAsia" w:ascii="宋体" w:hAnsi="宋体" w:eastAsia="宋体" w:cs="宋体"/>
                <w:kern w:val="0"/>
                <w:szCs w:val="21"/>
              </w:rPr>
              <w:br w:type="textWrapping"/>
            </w:r>
            <w:r>
              <w:rPr>
                <w:rFonts w:hint="eastAsia" w:ascii="宋体" w:hAnsi="宋体" w:eastAsia="宋体" w:cs="宋体"/>
                <w:kern w:val="0"/>
                <w:szCs w:val="21"/>
              </w:rPr>
              <w:t>（5）摇臂自动控制系统:系统集中控制教室摇臂功能。</w:t>
            </w:r>
            <w:r>
              <w:rPr>
                <w:rFonts w:hint="eastAsia" w:ascii="宋体" w:hAnsi="宋体" w:eastAsia="宋体" w:cs="宋体"/>
                <w:kern w:val="0"/>
                <w:szCs w:val="21"/>
              </w:rPr>
              <w:br w:type="textWrapping"/>
            </w:r>
            <w:r>
              <w:rPr>
                <w:rFonts w:hint="eastAsia" w:ascii="宋体" w:hAnsi="宋体" w:eastAsia="宋体" w:cs="宋体"/>
                <w:kern w:val="0"/>
                <w:szCs w:val="21"/>
              </w:rPr>
              <w:t>（6）远程控制系统:可实现APP远程控制。</w:t>
            </w:r>
            <w:r>
              <w:rPr>
                <w:rFonts w:hint="eastAsia" w:ascii="宋体" w:hAnsi="宋体" w:eastAsia="宋体" w:cs="宋体"/>
                <w:kern w:val="0"/>
                <w:szCs w:val="21"/>
              </w:rPr>
              <w:br w:type="textWrapping"/>
            </w:r>
            <w:r>
              <w:rPr>
                <w:rFonts w:hint="eastAsia" w:ascii="宋体" w:hAnsi="宋体" w:eastAsia="宋体" w:cs="宋体"/>
                <w:kern w:val="0"/>
                <w:szCs w:val="21"/>
              </w:rPr>
              <w:t>控制系统:采用工程PLC控制系统。</w:t>
            </w:r>
            <w:r>
              <w:rPr>
                <w:rFonts w:hint="eastAsia" w:ascii="宋体" w:hAnsi="宋体" w:eastAsia="宋体" w:cs="宋体"/>
                <w:kern w:val="0"/>
                <w:szCs w:val="21"/>
              </w:rPr>
              <w:br w:type="textWrapping"/>
            </w:r>
            <w:r>
              <w:rPr>
                <w:rFonts w:hint="eastAsia" w:ascii="宋体" w:hAnsi="宋体" w:eastAsia="宋体" w:cs="宋体"/>
                <w:kern w:val="0"/>
                <w:szCs w:val="21"/>
              </w:rPr>
              <w:t>★（7）电气控制通用要求:符合GB 4793.1《测量、控制和实验室用电气设备的安全要求第1部分:通用要求》。（投标人需提供符合该标准要求的检测报告，检测内容包含保护连接、电压试验、与电网电源的连接和设备零部件之间的连接、供电电源的断开。）</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控制面板</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★≥7寸触摸屏，集中控制系统。可执行各分项分页控制；</w:t>
            </w:r>
            <w:r>
              <w:rPr>
                <w:rFonts w:hint="eastAsia" w:ascii="宋体" w:hAnsi="宋体" w:eastAsia="宋体" w:cs="宋体"/>
                <w:kern w:val="0"/>
                <w:szCs w:val="21"/>
              </w:rPr>
              <w:br w:type="textWrapping"/>
            </w:r>
            <w:r>
              <w:rPr>
                <w:rFonts w:hint="eastAsia" w:ascii="宋体" w:hAnsi="宋体" w:eastAsia="宋体" w:cs="宋体"/>
                <w:kern w:val="0"/>
                <w:szCs w:val="21"/>
              </w:rPr>
              <w:t>（1）供水控制:可实现远程集中控制整室给排水；</w:t>
            </w:r>
            <w:r>
              <w:rPr>
                <w:rFonts w:hint="eastAsia" w:ascii="宋体" w:hAnsi="宋体" w:eastAsia="宋体" w:cs="宋体"/>
                <w:kern w:val="0"/>
                <w:szCs w:val="21"/>
              </w:rPr>
              <w:br w:type="textWrapping"/>
            </w:r>
            <w:r>
              <w:rPr>
                <w:rFonts w:hint="eastAsia" w:ascii="宋体" w:hAnsi="宋体" w:eastAsia="宋体" w:cs="宋体"/>
                <w:kern w:val="0"/>
                <w:szCs w:val="21"/>
              </w:rPr>
              <w:t>（2）照明控制:可实现远程分组控制整室照明；</w:t>
            </w:r>
            <w:r>
              <w:rPr>
                <w:rFonts w:hint="eastAsia" w:ascii="宋体" w:hAnsi="宋体" w:eastAsia="宋体" w:cs="宋体"/>
                <w:kern w:val="0"/>
                <w:szCs w:val="21"/>
              </w:rPr>
              <w:br w:type="textWrapping"/>
            </w:r>
            <w:r>
              <w:rPr>
                <w:rFonts w:hint="eastAsia" w:ascii="宋体" w:hAnsi="宋体" w:eastAsia="宋体" w:cs="宋体"/>
                <w:kern w:val="0"/>
                <w:szCs w:val="21"/>
              </w:rPr>
              <w:t>（3）电源控制:可实现远程分组控制学生高低压电源；</w:t>
            </w:r>
            <w:r>
              <w:rPr>
                <w:rFonts w:hint="eastAsia" w:ascii="宋体" w:hAnsi="宋体" w:eastAsia="宋体" w:cs="宋体"/>
                <w:kern w:val="0"/>
                <w:szCs w:val="21"/>
              </w:rPr>
              <w:br w:type="textWrapping"/>
            </w:r>
            <w:r>
              <w:rPr>
                <w:rFonts w:hint="eastAsia" w:ascii="宋体" w:hAnsi="宋体" w:eastAsia="宋体" w:cs="宋体"/>
                <w:kern w:val="0"/>
                <w:szCs w:val="21"/>
              </w:rPr>
              <w:t>（4）摇臂控制:可实现远程控制摇臂升降机构。</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4</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远程控制系统</w:t>
            </w:r>
          </w:p>
        </w:tc>
        <w:tc>
          <w:tcPr>
            <w:tcW w:w="3052" w:type="pct"/>
            <w:shd w:val="clear" w:color="auto" w:fill="auto"/>
            <w:vAlign w:val="center"/>
          </w:tcPr>
          <w:p>
            <w:pPr>
              <w:widowControl/>
              <w:numPr>
                <w:ilvl w:val="0"/>
                <w:numId w:val="11"/>
              </w:numPr>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使用APP账户密码登入系统操作，便于老师使用与管理。</w:t>
            </w:r>
            <w:r>
              <w:rPr>
                <w:rFonts w:hint="eastAsia" w:ascii="宋体" w:hAnsi="宋体" w:eastAsia="宋体" w:cs="宋体"/>
                <w:kern w:val="0"/>
                <w:szCs w:val="21"/>
              </w:rPr>
              <w:br w:type="textWrapping"/>
            </w:r>
            <w:r>
              <w:rPr>
                <w:rFonts w:hint="eastAsia" w:ascii="宋体" w:hAnsi="宋体" w:eastAsia="宋体" w:cs="宋体"/>
                <w:kern w:val="0"/>
                <w:szCs w:val="21"/>
              </w:rPr>
              <w:t>B、 APP移动终端与智能控制面板界面同步显示。</w:t>
            </w:r>
            <w:r>
              <w:rPr>
                <w:rFonts w:hint="eastAsia" w:ascii="宋体" w:hAnsi="宋体" w:eastAsia="宋体" w:cs="宋体"/>
                <w:kern w:val="0"/>
                <w:szCs w:val="21"/>
              </w:rPr>
              <w:br w:type="textWrapping"/>
            </w:r>
            <w:r>
              <w:rPr>
                <w:rFonts w:hint="eastAsia" w:ascii="宋体" w:hAnsi="宋体" w:eastAsia="宋体" w:cs="宋体"/>
                <w:kern w:val="0"/>
                <w:szCs w:val="21"/>
              </w:rPr>
              <w:t>C、 使用APP移动终端可实现远程无极变频通风系统控制功能。</w:t>
            </w:r>
            <w:r>
              <w:rPr>
                <w:rFonts w:hint="eastAsia" w:ascii="宋体" w:hAnsi="宋体" w:eastAsia="宋体" w:cs="宋体"/>
                <w:kern w:val="0"/>
                <w:szCs w:val="21"/>
              </w:rPr>
              <w:br w:type="textWrapping"/>
            </w:r>
            <w:r>
              <w:rPr>
                <w:rFonts w:hint="eastAsia" w:ascii="宋体" w:hAnsi="宋体" w:eastAsia="宋体" w:cs="宋体"/>
                <w:kern w:val="0"/>
                <w:szCs w:val="21"/>
              </w:rPr>
              <w:t>D、 使用APP移动终端可实现远程集中控制给排水功能。</w:t>
            </w:r>
            <w:r>
              <w:rPr>
                <w:rFonts w:hint="eastAsia" w:ascii="宋体" w:hAnsi="宋体" w:eastAsia="宋体" w:cs="宋体"/>
                <w:kern w:val="0"/>
                <w:szCs w:val="21"/>
              </w:rPr>
              <w:br w:type="textWrapping"/>
            </w:r>
            <w:r>
              <w:rPr>
                <w:rFonts w:hint="eastAsia" w:ascii="宋体" w:hAnsi="宋体" w:eastAsia="宋体" w:cs="宋体"/>
                <w:kern w:val="0"/>
                <w:szCs w:val="21"/>
              </w:rPr>
              <w:t>E、 使用APP移动终端可实现远程电源控制。</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F、 使用APP移动终端可实现远程控制摇臂升降功能。</w:t>
            </w:r>
            <w:r>
              <w:rPr>
                <w:rFonts w:hint="eastAsia" w:ascii="宋体" w:hAnsi="宋体" w:eastAsia="宋体" w:cs="宋体"/>
                <w:kern w:val="0"/>
                <w:szCs w:val="21"/>
              </w:rPr>
              <w:br w:type="textWrapping"/>
            </w:r>
            <w:r>
              <w:rPr>
                <w:rFonts w:hint="eastAsia" w:ascii="宋体" w:hAnsi="宋体" w:eastAsia="宋体" w:cs="宋体"/>
                <w:kern w:val="0"/>
                <w:szCs w:val="21"/>
              </w:rPr>
              <w:t>PC机通过网络连接可实现智能控制柜操作，并能实现移动设备、触摸屏、教师一体机的同步交互控制。</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实验室专用通风罩</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万向式吸风罩。</w:t>
            </w:r>
            <w:r>
              <w:rPr>
                <w:rFonts w:hint="eastAsia" w:ascii="宋体" w:hAnsi="宋体" w:eastAsia="宋体" w:cs="宋体"/>
                <w:kern w:val="0"/>
                <w:szCs w:val="21"/>
              </w:rPr>
              <w:br w:type="textWrapping"/>
            </w:r>
            <w:r>
              <w:rPr>
                <w:rFonts w:hint="eastAsia" w:ascii="宋体" w:hAnsi="宋体" w:eastAsia="宋体" w:cs="宋体"/>
                <w:kern w:val="0"/>
                <w:szCs w:val="21"/>
              </w:rPr>
              <w:t>★1、万向节采用≥Ø75mm铝合金材质，表面经电泳、静电环氧树脂粉末喷涂处理，具有耐腐蚀、防火、防潮等功能；活动关节采用高密度PP材质，旋钮式螺纹压紧；可360度旋转调节方向，易拆卸、重组及清洗；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kern w:val="0"/>
                <w:szCs w:val="21"/>
              </w:rPr>
              <w:br w:type="textWrapping"/>
            </w:r>
            <w:r>
              <w:rPr>
                <w:rFonts w:hint="eastAsia" w:ascii="宋体" w:hAnsi="宋体" w:eastAsia="宋体" w:cs="宋体"/>
                <w:kern w:val="0"/>
                <w:szCs w:val="21"/>
              </w:rPr>
              <w:t>2、气流调节阀采用手动调节外部阀门旋钮，控制进入之气流量；</w:t>
            </w:r>
            <w:r>
              <w:rPr>
                <w:rFonts w:hint="eastAsia" w:ascii="宋体" w:hAnsi="宋体" w:eastAsia="宋体" w:cs="宋体"/>
                <w:kern w:val="0"/>
                <w:szCs w:val="21"/>
              </w:rPr>
              <w:br w:type="textWrapping"/>
            </w:r>
            <w:r>
              <w:rPr>
                <w:rFonts w:hint="eastAsia" w:ascii="宋体" w:hAnsi="宋体" w:eastAsia="宋体" w:cs="宋体"/>
                <w:kern w:val="0"/>
                <w:szCs w:val="21"/>
              </w:rPr>
              <w:t>3、360°旋转装置活动半径≥900mm；</w:t>
            </w:r>
            <w:r>
              <w:rPr>
                <w:rFonts w:hint="eastAsia" w:ascii="宋体" w:hAnsi="宋体" w:eastAsia="宋体" w:cs="宋体"/>
                <w:kern w:val="0"/>
                <w:szCs w:val="21"/>
              </w:rPr>
              <w:br w:type="textWrapping"/>
            </w:r>
            <w:r>
              <w:rPr>
                <w:rFonts w:hint="eastAsia" w:ascii="宋体" w:hAnsi="宋体" w:eastAsia="宋体" w:cs="宋体"/>
                <w:kern w:val="0"/>
                <w:szCs w:val="21"/>
              </w:rPr>
              <w:t>4、PC塑料成型制作风口柔性伸缩连接管；</w:t>
            </w:r>
            <w:r>
              <w:rPr>
                <w:rFonts w:hint="eastAsia" w:ascii="宋体" w:hAnsi="宋体" w:eastAsia="宋体" w:cs="宋体"/>
                <w:kern w:val="0"/>
                <w:szCs w:val="21"/>
              </w:rPr>
              <w:br w:type="textWrapping"/>
            </w:r>
            <w:r>
              <w:rPr>
                <w:rFonts w:hint="eastAsia" w:ascii="宋体" w:hAnsi="宋体" w:eastAsia="宋体" w:cs="宋体"/>
                <w:kern w:val="0"/>
                <w:szCs w:val="21"/>
              </w:rPr>
              <w:t>在通风机的强制抽风下经吸风罩汇入将实验废气排出室外，最佳排气距离可调整。</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吊装式通风管道</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规格尺寸:标准模块化组成，≥2400mm为一组；</w:t>
            </w:r>
            <w:r>
              <w:rPr>
                <w:rFonts w:hint="eastAsia" w:ascii="宋体" w:hAnsi="宋体" w:eastAsia="宋体" w:cs="宋体"/>
                <w:kern w:val="0"/>
                <w:szCs w:val="21"/>
              </w:rPr>
              <w:br w:type="textWrapping"/>
            </w:r>
            <w:r>
              <w:rPr>
                <w:rFonts w:hint="eastAsia" w:ascii="宋体" w:hAnsi="宋体" w:eastAsia="宋体" w:cs="宋体"/>
                <w:kern w:val="0"/>
                <w:szCs w:val="21"/>
              </w:rPr>
              <w:t>通风主管道、支管道均采用防腐蚀PVC制作而成，主管道:≥Ø315mm；通风支管道:≥Ø250mm、≥Ø200mm、≥Ø160mm风道，接口采用专用接口连接。</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★投标人需提供实验室通风管道用PVC板符合GB8624-2012《建筑材料及制品燃烧性能分级》标准的检验报告。</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8</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通风风机</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噪声符合国家标准。</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★投标人需提供实验室风机关于耐压试验、绝缘电阻检验等符合GB5226.1-2012标准的检验报告。</w:t>
            </w:r>
            <w:r>
              <w:rPr>
                <w:rFonts w:hint="eastAsia" w:ascii="宋体" w:hAnsi="宋体" w:eastAsia="宋体" w:cs="宋体"/>
                <w:kern w:val="0"/>
                <w:szCs w:val="21"/>
              </w:rPr>
              <w:br w:type="textWrapping"/>
            </w: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10</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照明光源</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接收智能化控制系统控制，功能面板采用≥200×600mmABS工程塑料注塑成型，内部安装镜面铝板反光罩及阻燃ABS一次成型灯架，配置T5日光灯2根，每根≥7W，设计安装磨砂均光板，不仅能使光线扩散均匀更能起到安全防护作用。</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11</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照明线路</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模块化设计，每组模块间采用活接式连接，方便安装、检修。采用≥2.5mm²电线进行系统布线。</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项</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12</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摇臂升降机构</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摇臂升降机构接受智能控制系统信号实现远程遥控，动力为不超过24V低压减速电机，固定于专用支架，外部保护罩为ABS工程塑料。</w:t>
            </w:r>
            <w:r>
              <w:rPr>
                <w:rFonts w:hint="eastAsia" w:ascii="宋体" w:hAnsi="宋体" w:eastAsia="宋体" w:cs="宋体"/>
                <w:kern w:val="0"/>
                <w:szCs w:val="21"/>
              </w:rPr>
              <w:br w:type="textWrapping"/>
            </w:r>
            <w:r>
              <w:rPr>
                <w:rFonts w:hint="eastAsia" w:ascii="宋体" w:hAnsi="宋体" w:eastAsia="宋体" w:cs="宋体"/>
                <w:kern w:val="0"/>
                <w:szCs w:val="21"/>
              </w:rPr>
              <w:t>支撑悬臂:采用不小于1.2mm厚70×80×420mm椭圆形铝镁合金大型模具制作而成，表面阳极氧化磨砂处理。</w:t>
            </w:r>
            <w:r>
              <w:rPr>
                <w:rFonts w:hint="eastAsia" w:ascii="宋体" w:hAnsi="宋体" w:eastAsia="宋体" w:cs="宋体"/>
                <w:kern w:val="0"/>
                <w:szCs w:val="21"/>
              </w:rPr>
              <w:br w:type="textWrapping"/>
            </w:r>
            <w:r>
              <w:rPr>
                <w:rFonts w:hint="eastAsia" w:ascii="宋体" w:hAnsi="宋体" w:eastAsia="宋体" w:cs="宋体"/>
                <w:kern w:val="0"/>
                <w:szCs w:val="21"/>
              </w:rPr>
              <w:t>★功能操作模块规格（长×高×厚）:不小于600×200×110mm</w:t>
            </w:r>
            <w:r>
              <w:rPr>
                <w:rFonts w:hint="eastAsia" w:ascii="宋体" w:hAnsi="宋体" w:eastAsia="宋体" w:cs="宋体"/>
                <w:kern w:val="0"/>
                <w:szCs w:val="21"/>
              </w:rPr>
              <w:br w:type="textWrapping"/>
            </w:r>
            <w:r>
              <w:rPr>
                <w:rFonts w:hint="eastAsia" w:ascii="宋体" w:hAnsi="宋体" w:eastAsia="宋体" w:cs="宋体"/>
                <w:kern w:val="0"/>
                <w:szCs w:val="21"/>
              </w:rPr>
              <w:t>1、整体呈横向椭圆状，表面圆润防止学生磕碰；</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2、功能操作模块由正面功能操作面板和背面检修面板组成，主体均采用≥3.5mm厚ABS阻燃工程塑料一次注塑成型具有防火、防潮、防锈及防漏电功能；功能接口模块不少于8个，包含:≥220V电源五孔插座、低压电源接口、USB功能接口和网络接口。</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★3、功能操作面板预留电源功能模块，功能模块成田字状分布方便学生使用，模块规格不小于65*65mm；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4、给排水接口:接收智能化控制系统控制，摇臂操作面板上预留给排水接口1对、信号控制接口1个。并配置给排水PVC软管2根、信号控制快速航空接头及连接线1套。快速给排水接口均采用PP-R材质注塑成型。</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5、每组功能操作面板可满足两组学生用电功能需求。为避免学生身高无法使用电源模块，最高处电源模块中心点距离操作面板底端不得超过150mm。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6、背面检修面板留有散热孔，功能模块底面带有不锈钢挂环，可收束电源线；</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★7、所有紧固零件均采用不锈钢材质；</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8、所有功能模块均接受智能控制系统控制。</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13</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洗眼器</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规格尺寸:≥120（眼罩直径）×60（眼罩深度）×1030（水管长度）</w:t>
            </w:r>
            <w:r>
              <w:rPr>
                <w:rFonts w:hint="eastAsia" w:ascii="宋体" w:hAnsi="宋体" w:eastAsia="宋体" w:cs="宋体"/>
                <w:kern w:val="0"/>
                <w:szCs w:val="21"/>
              </w:rPr>
              <w:br w:type="textWrapping"/>
            </w:r>
            <w:r>
              <w:rPr>
                <w:rFonts w:hint="eastAsia" w:ascii="宋体" w:hAnsi="宋体" w:eastAsia="宋体" w:cs="宋体"/>
                <w:kern w:val="0"/>
                <w:szCs w:val="21"/>
              </w:rPr>
              <w:t>洗眼器内置在多功能水槽台内，可抽拉伸缩式，抽出后可以万向旋转，收缩后可以固定在内置卡槽。材质为优质橡胶，贴近眼部不刺激眼睛且有贴合度强。</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14</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学生低压电源及网络智能控制系统</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0-30V交流电压电源，分档输出，额定电流≥6A（短路、过载自动保护、自动复位功能）；</w:t>
            </w:r>
            <w:r>
              <w:rPr>
                <w:rFonts w:hint="eastAsia" w:ascii="宋体" w:hAnsi="宋体" w:eastAsia="宋体" w:cs="宋体"/>
                <w:kern w:val="0"/>
                <w:szCs w:val="21"/>
              </w:rPr>
              <w:br w:type="textWrapping"/>
            </w:r>
            <w:r>
              <w:rPr>
                <w:rFonts w:hint="eastAsia" w:ascii="宋体" w:hAnsi="宋体" w:eastAsia="宋体" w:cs="宋体"/>
                <w:kern w:val="0"/>
                <w:szCs w:val="21"/>
              </w:rPr>
              <w:t>1.25-30V精密稳压电源，无级输出（分辨率为0.1V），额定电流≥6A；</w:t>
            </w:r>
            <w:r>
              <w:rPr>
                <w:rFonts w:hint="eastAsia" w:ascii="宋体" w:hAnsi="宋体" w:eastAsia="宋体" w:cs="宋体"/>
                <w:kern w:val="0"/>
                <w:szCs w:val="21"/>
              </w:rPr>
              <w:br w:type="textWrapping"/>
            </w:r>
            <w:r>
              <w:rPr>
                <w:rFonts w:hint="eastAsia" w:ascii="宋体" w:hAnsi="宋体" w:eastAsia="宋体" w:cs="宋体"/>
                <w:kern w:val="0"/>
                <w:szCs w:val="21"/>
              </w:rPr>
              <w:t>整室网络覆盖；</w:t>
            </w:r>
            <w:r>
              <w:rPr>
                <w:rFonts w:hint="eastAsia" w:ascii="宋体" w:hAnsi="宋体" w:eastAsia="宋体" w:cs="宋体"/>
                <w:kern w:val="0"/>
                <w:szCs w:val="21"/>
              </w:rPr>
              <w:br w:type="textWrapping"/>
            </w:r>
            <w:r>
              <w:rPr>
                <w:rFonts w:hint="eastAsia" w:ascii="宋体" w:hAnsi="宋体" w:eastAsia="宋体" w:cs="宋体"/>
                <w:kern w:val="0"/>
                <w:szCs w:val="21"/>
              </w:rPr>
              <w:t>接受智能控制柜控制。</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嵌入式低压电源</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1、规格:≥165×160×90mm。</w:t>
            </w:r>
            <w:r>
              <w:rPr>
                <w:rFonts w:hint="eastAsia" w:ascii="宋体" w:hAnsi="宋体" w:eastAsia="宋体" w:cs="宋体"/>
                <w:kern w:val="0"/>
                <w:szCs w:val="21"/>
              </w:rPr>
              <w:br w:type="textWrapping"/>
            </w:r>
            <w:r>
              <w:rPr>
                <w:rFonts w:hint="eastAsia" w:ascii="宋体" w:hAnsi="宋体" w:eastAsia="宋体" w:cs="宋体"/>
                <w:kern w:val="0"/>
                <w:szCs w:val="21"/>
              </w:rPr>
              <w:t>2、受控低压交流电源2-30V/3A（2V一档）（短路、过载自动保护、自动复位）。</w:t>
            </w:r>
            <w:r>
              <w:rPr>
                <w:rFonts w:hint="eastAsia" w:ascii="宋体" w:hAnsi="宋体" w:eastAsia="宋体" w:cs="宋体"/>
                <w:kern w:val="0"/>
                <w:szCs w:val="21"/>
              </w:rPr>
              <w:br w:type="textWrapping"/>
            </w:r>
            <w:r>
              <w:rPr>
                <w:rFonts w:hint="eastAsia" w:ascii="宋体" w:hAnsi="宋体" w:eastAsia="宋体" w:cs="宋体"/>
                <w:kern w:val="0"/>
                <w:szCs w:val="21"/>
              </w:rPr>
              <w:t>3、低压直流电源:1.25V-30V/3A，学生可进行微调。</w:t>
            </w:r>
            <w:r>
              <w:rPr>
                <w:rFonts w:hint="eastAsia" w:ascii="宋体" w:hAnsi="宋体" w:eastAsia="宋体" w:cs="宋体"/>
                <w:kern w:val="0"/>
                <w:szCs w:val="21"/>
              </w:rPr>
              <w:br w:type="textWrapping"/>
            </w:r>
            <w:r>
              <w:rPr>
                <w:rFonts w:hint="eastAsia" w:ascii="宋体" w:hAnsi="宋体" w:eastAsia="宋体" w:cs="宋体"/>
                <w:kern w:val="0"/>
                <w:szCs w:val="21"/>
              </w:rPr>
              <w:t>4、交直流电压均采用数码显示。</w:t>
            </w:r>
            <w:r>
              <w:rPr>
                <w:rFonts w:hint="eastAsia" w:ascii="宋体" w:hAnsi="宋体" w:eastAsia="宋体" w:cs="宋体"/>
                <w:kern w:val="0"/>
                <w:szCs w:val="21"/>
              </w:rPr>
              <w:br w:type="textWrapping"/>
            </w:r>
            <w:r>
              <w:rPr>
                <w:rFonts w:hint="eastAsia" w:ascii="宋体" w:hAnsi="宋体" w:eastAsia="宋体" w:cs="宋体"/>
                <w:kern w:val="0"/>
                <w:szCs w:val="21"/>
              </w:rPr>
              <w:t>5、所有电器产品符合国家部颁标准。</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16</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自动给排水系统</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包括自动排水模块1组、自动水位控制器1组、信号控制器1套、自动保护系统1组。</w:t>
            </w:r>
            <w:r>
              <w:rPr>
                <w:rFonts w:hint="eastAsia" w:ascii="宋体" w:hAnsi="宋体" w:eastAsia="宋体" w:cs="宋体"/>
                <w:kern w:val="0"/>
                <w:szCs w:val="21"/>
              </w:rPr>
              <w:br w:type="textWrapping"/>
            </w:r>
            <w:r>
              <w:rPr>
                <w:rFonts w:hint="eastAsia" w:ascii="宋体" w:hAnsi="宋体" w:eastAsia="宋体" w:cs="宋体"/>
                <w:kern w:val="0"/>
                <w:szCs w:val="21"/>
              </w:rPr>
              <w:t>所有排水由智能化控制系统集中控制，摇臂操作面板设计排水接口，接口与多功能移动水槽台采用优质PVC软管（具有防酸、防碱、耐腐蚀功能）连接，接口均采用自动锁紧插拔式连接方式（拔掉时没有污水流出），用时接上，不用时可收起。当水位达到限值时系统自动排水、污水经过连接管排至总管，当污水排净后排水系统自动关闭。</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19</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系统主体构架</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1、规格尺寸:标准模块化组成，≥2400×960×600mm为一组；</w:t>
            </w:r>
            <w:r>
              <w:rPr>
                <w:rFonts w:hint="eastAsia" w:ascii="宋体" w:hAnsi="宋体" w:eastAsia="宋体" w:cs="宋体"/>
                <w:kern w:val="0"/>
                <w:szCs w:val="21"/>
              </w:rPr>
              <w:br w:type="textWrapping"/>
            </w:r>
            <w:r>
              <w:rPr>
                <w:rFonts w:hint="eastAsia" w:ascii="宋体" w:hAnsi="宋体" w:eastAsia="宋体" w:cs="宋体"/>
                <w:kern w:val="0"/>
                <w:szCs w:val="21"/>
              </w:rPr>
              <w:t>2、外形及材质:流线型设计（飞机舱体式设计），内质承重结构框架采用≥30×30mm方形铝合金，左右装饰条采用≥180×200流线型ABS工程塑料注塑成型，底部装饰板（规格:≥400×300mm）均采用ABS工程塑料一次性注塑成型，所有装饰部件采用模块化设计，拆卸方便，便于检修。</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★需提供化学吊顶安装可升降集成系统检测报告（由省级或以上资质质量监督检验机构颁发）和企业标准（按国家标准法规定经省级或以上质量技术监督局备案）。</w:t>
            </w:r>
          </w:p>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★为保证售后服务质量，投标人为经销商的需提供投标产品制造商出具的售后服务承诺书。</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组</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20</w:t>
            </w:r>
          </w:p>
        </w:tc>
        <w:tc>
          <w:tcPr>
            <w:tcW w:w="755" w:type="pct"/>
            <w:shd w:val="clear" w:color="auto" w:fill="auto"/>
            <w:vAlign w:val="center"/>
          </w:tcPr>
          <w:p>
            <w:pPr>
              <w:widowControl/>
              <w:spacing w:line="300" w:lineRule="auto"/>
              <w:jc w:val="center"/>
              <w:textAlignment w:val="center"/>
              <w:rPr>
                <w:rFonts w:ascii="宋体" w:hAnsi="宋体" w:eastAsia="宋体" w:cs="宋体"/>
                <w:kern w:val="0"/>
                <w:szCs w:val="21"/>
              </w:rPr>
            </w:pPr>
            <w:r>
              <w:rPr>
                <w:rFonts w:hint="eastAsia" w:ascii="宋体" w:hAnsi="宋体" w:eastAsia="宋体" w:cs="宋体"/>
                <w:kern w:val="0"/>
                <w:szCs w:val="21"/>
              </w:rPr>
              <w:t>系统外观装饰功能板</w:t>
            </w:r>
          </w:p>
        </w:tc>
        <w:tc>
          <w:tcPr>
            <w:tcW w:w="3052" w:type="pct"/>
            <w:shd w:val="clear" w:color="auto" w:fill="auto"/>
            <w:vAlign w:val="center"/>
          </w:tcPr>
          <w:p>
            <w:pPr>
              <w:widowControl/>
              <w:spacing w:line="300" w:lineRule="auto"/>
              <w:textAlignment w:val="center"/>
              <w:rPr>
                <w:rFonts w:ascii="宋体" w:hAnsi="宋体" w:eastAsia="宋体" w:cs="宋体"/>
                <w:kern w:val="0"/>
                <w:szCs w:val="21"/>
              </w:rPr>
            </w:pPr>
            <w:r>
              <w:rPr>
                <w:rFonts w:hint="eastAsia" w:ascii="宋体" w:hAnsi="宋体" w:eastAsia="宋体" w:cs="宋体"/>
                <w:kern w:val="0"/>
                <w:szCs w:val="21"/>
              </w:rPr>
              <w:t>规格尺寸:标准模块化组成，≥1200×960×600mm为一组；</w:t>
            </w:r>
            <w:r>
              <w:rPr>
                <w:rFonts w:hint="eastAsia" w:ascii="宋体" w:hAnsi="宋体" w:eastAsia="宋体" w:cs="宋体"/>
                <w:kern w:val="0"/>
                <w:szCs w:val="21"/>
              </w:rPr>
              <w:br w:type="textWrapping"/>
            </w:r>
            <w:r>
              <w:rPr>
                <w:rFonts w:hint="eastAsia" w:ascii="宋体" w:hAnsi="宋体" w:eastAsia="宋体" w:cs="宋体"/>
                <w:kern w:val="0"/>
                <w:szCs w:val="21"/>
              </w:rPr>
              <w:t>系统外部侧板采用半圆弧型装饰板（规格:≥400×300mm）、底板（规格:≥600×300mm）均采用ABS工程塑料一次性注塑成型，所有装饰部件采用模块化设计，拆卸方便，便于检修。</w:t>
            </w:r>
          </w:p>
        </w:tc>
        <w:tc>
          <w:tcPr>
            <w:tcW w:w="374"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组</w:t>
            </w:r>
          </w:p>
        </w:tc>
        <w:tc>
          <w:tcPr>
            <w:tcW w:w="44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b/>
                <w:bCs/>
                <w:kern w:val="0"/>
                <w:szCs w:val="21"/>
              </w:rPr>
              <w:t>五</w:t>
            </w:r>
          </w:p>
        </w:tc>
        <w:tc>
          <w:tcPr>
            <w:tcW w:w="755" w:type="pct"/>
            <w:shd w:val="clear" w:color="auto" w:fill="auto"/>
            <w:vAlign w:val="center"/>
          </w:tcPr>
          <w:p>
            <w:pPr>
              <w:spacing w:line="300" w:lineRule="auto"/>
              <w:jc w:val="center"/>
              <w:rPr>
                <w:rFonts w:ascii="宋体" w:hAnsi="宋体" w:eastAsia="宋体" w:cs="宋体"/>
                <w:kern w:val="0"/>
                <w:szCs w:val="21"/>
              </w:rPr>
            </w:pPr>
          </w:p>
        </w:tc>
        <w:tc>
          <w:tcPr>
            <w:tcW w:w="3052"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b/>
                <w:color w:val="000000"/>
                <w:kern w:val="0"/>
                <w:szCs w:val="21"/>
              </w:rPr>
              <w:t>化学实验准备室</w:t>
            </w:r>
          </w:p>
        </w:tc>
        <w:tc>
          <w:tcPr>
            <w:tcW w:w="374" w:type="pct"/>
            <w:shd w:val="clear" w:color="auto" w:fill="auto"/>
            <w:vAlign w:val="center"/>
          </w:tcPr>
          <w:p>
            <w:pPr>
              <w:widowControl/>
              <w:spacing w:line="300" w:lineRule="auto"/>
              <w:jc w:val="center"/>
              <w:rPr>
                <w:rFonts w:ascii="宋体" w:hAnsi="宋体" w:eastAsia="宋体" w:cs="宋体"/>
                <w:kern w:val="0"/>
                <w:szCs w:val="21"/>
              </w:rPr>
            </w:pPr>
          </w:p>
        </w:tc>
        <w:tc>
          <w:tcPr>
            <w:tcW w:w="445" w:type="pct"/>
            <w:shd w:val="clear" w:color="auto" w:fill="auto"/>
            <w:vAlign w:val="center"/>
          </w:tcPr>
          <w:p>
            <w:pPr>
              <w:widowControl/>
              <w:spacing w:line="300" w:lineRule="auto"/>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化学教师演讲台</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规格:</w:t>
            </w:r>
            <w:r>
              <w:rPr>
                <w:rFonts w:hint="eastAsia" w:ascii="宋体" w:hAnsi="宋体" w:eastAsia="宋体" w:cs="宋体"/>
                <w:kern w:val="0"/>
                <w:szCs w:val="21"/>
              </w:rPr>
              <w:t>≥</w:t>
            </w:r>
            <w:r>
              <w:rPr>
                <w:rFonts w:hint="eastAsia" w:ascii="宋体" w:hAnsi="宋体" w:eastAsia="宋体" w:cs="宋体"/>
                <w:color w:val="000000"/>
                <w:kern w:val="0"/>
                <w:szCs w:val="21"/>
              </w:rPr>
              <w:t>2400*700*900mm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1.全木结构；</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2.面板:采用</w:t>
            </w:r>
            <w:r>
              <w:rPr>
                <w:rFonts w:hint="eastAsia" w:ascii="宋体" w:hAnsi="宋体" w:eastAsia="宋体" w:cs="宋体"/>
                <w:kern w:val="0"/>
                <w:szCs w:val="21"/>
              </w:rPr>
              <w:t>≥</w:t>
            </w:r>
            <w:r>
              <w:rPr>
                <w:rFonts w:hint="eastAsia" w:ascii="宋体" w:hAnsi="宋体" w:eastAsia="宋体" w:cs="宋体"/>
                <w:color w:val="000000"/>
                <w:kern w:val="0"/>
                <w:szCs w:val="21"/>
              </w:rPr>
              <w:t>12.7mm厚双面膜耐腐蚀实芯理化板制作，四角倒</w:t>
            </w:r>
            <w:r>
              <w:rPr>
                <w:rFonts w:hint="eastAsia" w:ascii="宋体" w:hAnsi="宋体" w:eastAsia="宋体" w:cs="宋体"/>
                <w:kern w:val="0"/>
                <w:szCs w:val="21"/>
              </w:rPr>
              <w:t>≥</w:t>
            </w:r>
            <w:r>
              <w:rPr>
                <w:rFonts w:hint="eastAsia" w:ascii="宋体" w:hAnsi="宋体" w:eastAsia="宋体" w:cs="宋体"/>
                <w:color w:val="000000"/>
                <w:kern w:val="0"/>
                <w:szCs w:val="21"/>
              </w:rPr>
              <w:t>R15圆角。耐酸、耐碱、耐高温，坚固耐用，防潮、无细孔、不膨胀、不龟裂、不变形、不导电、便于维护及具有良好的承重性能；</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3.柜身:采用E1级环保型三聚氰胺板制作，可见截面均经过PVC封边；整体结构设计合理，预留电脑主机、键盘托、实物展台、教师电源位置。</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4.防腐三节静音导轨:采用优质品牌三节静音滑轨；</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5.铰链:采用知名品牌大弯铰链，开合十万次以上；</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6.耐腐蚀连接件:ABS专用连接组装件；</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7.桌脚:采用ABS注塑专用桌垫固定；</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8.防撞胶垫:采用橡胶材质，装于抽屉及门板内侧，减缓碰撞，保护柜体；</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9.其他:台面装置教师电源主控台，预留多媒体设备（电脑；实物展台、DVD）等设备位置。</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755" w:type="pct"/>
            <w:shd w:val="clear" w:color="auto" w:fill="auto"/>
            <w:vAlign w:val="center"/>
          </w:tcPr>
          <w:p>
            <w:pPr>
              <w:widowControl/>
              <w:spacing w:line="300" w:lineRule="auto"/>
              <w:jc w:val="center"/>
              <w:textAlignment w:val="center"/>
              <w:rPr>
                <w:rFonts w:ascii="宋体" w:hAnsi="宋体" w:eastAsia="宋体" w:cs="宋体"/>
                <w:color w:val="000000"/>
                <w:kern w:val="0"/>
                <w:szCs w:val="21"/>
              </w:rPr>
            </w:pPr>
            <w:r>
              <w:rPr>
                <w:rFonts w:hint="eastAsia" w:ascii="宋体" w:hAnsi="宋体" w:eastAsia="宋体" w:cs="宋体"/>
                <w:kern w:val="0"/>
                <w:szCs w:val="21"/>
              </w:rPr>
              <w:t>学生实验凳</w:t>
            </w:r>
          </w:p>
        </w:tc>
        <w:tc>
          <w:tcPr>
            <w:tcW w:w="3052" w:type="pct"/>
            <w:shd w:val="clear" w:color="auto" w:fill="auto"/>
            <w:vAlign w:val="center"/>
          </w:tcPr>
          <w:p>
            <w:pPr>
              <w:widowControl/>
              <w:spacing w:line="300" w:lineRule="auto"/>
              <w:jc w:val="left"/>
              <w:textAlignment w:val="center"/>
              <w:rPr>
                <w:rFonts w:ascii="宋体" w:hAnsi="宋体" w:eastAsia="宋体" w:cs="宋体"/>
                <w:color w:val="000000"/>
                <w:kern w:val="0"/>
                <w:szCs w:val="21"/>
              </w:rPr>
            </w:pPr>
            <w:r>
              <w:rPr>
                <w:rFonts w:hint="eastAsia" w:ascii="宋体" w:hAnsi="宋体" w:eastAsia="宋体" w:cs="宋体"/>
                <w:kern w:val="0"/>
                <w:szCs w:val="21"/>
              </w:rPr>
              <w:t>1、产品规格:凳面直径≥320mm，高度380-480mm（高度可调）；</w:t>
            </w:r>
            <w:r>
              <w:rPr>
                <w:rFonts w:hint="eastAsia" w:ascii="宋体" w:hAnsi="宋体" w:eastAsia="宋体" w:cs="宋体"/>
                <w:kern w:val="0"/>
                <w:szCs w:val="21"/>
              </w:rPr>
              <w:br w:type="textWrapping"/>
            </w:r>
            <w:r>
              <w:rPr>
                <w:rFonts w:hint="eastAsia" w:ascii="宋体" w:hAnsi="宋体" w:eastAsia="宋体" w:cs="宋体"/>
                <w:kern w:val="0"/>
                <w:szCs w:val="21"/>
              </w:rPr>
              <w:t>2、技术参数:凳面采用≥3mm厚聚丙烯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准备台</w:t>
            </w:r>
          </w:p>
        </w:tc>
        <w:tc>
          <w:tcPr>
            <w:tcW w:w="3052" w:type="pct"/>
            <w:shd w:val="clear" w:color="auto" w:fill="auto"/>
            <w:vAlign w:val="center"/>
          </w:tcPr>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规格:≥3000×750×850mm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面板材:一体化台面，采用知名品牌≥12mm实芯理化板，耐强酸碱、耐腐蚀、耐有机溶剂，抗菌、抗污染、防水、防火。四周边缘加厚至≥24mm，并经精密加工、倒角、打磨，呈光滑半圆形，注重人性化设计，美观实用。</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台的结构:铝木结构</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台身:侧、前后档板、门板等均采用≥16mm厚优质E1级环保三聚氰胺灰白色双贴面板。所有板材截面均采用热溶封边机以≥2mm厚PVC封边。准备台两边上层设计成抽屉的形式，两边的下层做成“凹”式（中间≥1000宽处凹进出≥300）柜的形式,柜内安装一层调节隔板。</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可调脚:采用模具成型PC＋ABS工程塑料合金注塑专用垫，可隐蔽固定，高≥25mm，可暗藏固定防止晃动，并能有效防止桌身受潮，延长设备的使用寿命。</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化验水槽一副:</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规格:≥420×320×200mm</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≥5mm厚高密度黑色PP材质一体成型，具有弹性、耐酸碱、耐有机溶剂、耐热，在无外力作用下加热至150℃不变形。</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三联水嘴一副:</w:t>
            </w:r>
          </w:p>
          <w:p>
            <w:pPr>
              <w:widowControl/>
              <w:spacing w:line="300" w:lineRule="auto"/>
              <w:jc w:val="left"/>
              <w:textAlignment w:val="center"/>
              <w:rPr>
                <w:rFonts w:ascii="宋体" w:hAnsi="宋体" w:eastAsia="宋体" w:cs="宋体"/>
                <w:kern w:val="0"/>
                <w:szCs w:val="21"/>
              </w:rPr>
            </w:pPr>
            <w:r>
              <w:rPr>
                <w:rFonts w:hint="eastAsia" w:ascii="宋体" w:hAnsi="宋体" w:eastAsia="宋体" w:cs="宋体"/>
                <w:kern w:val="0"/>
                <w:szCs w:val="21"/>
              </w:rPr>
              <w:t>铜塑三联化验水嘴、两低一高。</w:t>
            </w:r>
          </w:p>
          <w:p>
            <w:pPr>
              <w:widowControl/>
              <w:spacing w:line="300" w:lineRule="auto"/>
              <w:jc w:val="left"/>
              <w:rPr>
                <w:rFonts w:ascii="宋体" w:hAnsi="宋体" w:eastAsia="宋体" w:cs="宋体"/>
                <w:color w:val="000000"/>
                <w:kern w:val="0"/>
                <w:szCs w:val="21"/>
              </w:rPr>
            </w:pPr>
            <w:r>
              <w:rPr>
                <w:rFonts w:hint="eastAsia" w:ascii="宋体" w:hAnsi="宋体" w:eastAsia="宋体" w:cs="宋体"/>
                <w:kern w:val="0"/>
                <w:szCs w:val="21"/>
              </w:rPr>
              <w:t>电源:多功能插座2个。</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实验室专用水槽</w:t>
            </w:r>
          </w:p>
        </w:tc>
        <w:tc>
          <w:tcPr>
            <w:tcW w:w="3052" w:type="pct"/>
            <w:shd w:val="clear" w:color="auto" w:fill="auto"/>
            <w:vAlign w:val="center"/>
          </w:tcPr>
          <w:p>
            <w:pPr>
              <w:widowControl/>
              <w:spacing w:line="300" w:lineRule="auto"/>
              <w:jc w:val="left"/>
              <w:rPr>
                <w:rFonts w:ascii="宋体" w:hAnsi="宋体" w:eastAsia="宋体" w:cs="宋体"/>
                <w:szCs w:val="21"/>
              </w:rPr>
            </w:pPr>
            <w:r>
              <w:rPr>
                <w:rFonts w:hint="eastAsia" w:ascii="宋体" w:hAnsi="宋体" w:eastAsia="宋体" w:cs="宋体"/>
                <w:szCs w:val="21"/>
              </w:rPr>
              <w:t>规格:</w:t>
            </w:r>
            <w:r>
              <w:rPr>
                <w:rFonts w:hint="eastAsia" w:ascii="宋体" w:hAnsi="宋体" w:eastAsia="宋体" w:cs="宋体"/>
                <w:kern w:val="0"/>
                <w:szCs w:val="21"/>
              </w:rPr>
              <w:t>≥</w:t>
            </w:r>
            <w:r>
              <w:rPr>
                <w:rFonts w:hint="eastAsia" w:ascii="宋体" w:hAnsi="宋体" w:eastAsia="宋体" w:cs="宋体"/>
                <w:szCs w:val="21"/>
              </w:rPr>
              <w:t>550*450*300</w:t>
            </w:r>
            <w:r>
              <w:rPr>
                <w:rFonts w:hint="eastAsia" w:ascii="宋体" w:hAnsi="宋体" w:eastAsia="宋体" w:cs="宋体"/>
                <w:kern w:val="0"/>
                <w:szCs w:val="21"/>
              </w:rPr>
              <w:t>mm</w:t>
            </w:r>
          </w:p>
          <w:p>
            <w:pPr>
              <w:widowControl/>
              <w:spacing w:line="300" w:lineRule="auto"/>
              <w:jc w:val="left"/>
              <w:rPr>
                <w:rFonts w:ascii="宋体" w:hAnsi="宋体" w:eastAsia="宋体" w:cs="宋体"/>
                <w:color w:val="000000"/>
                <w:kern w:val="0"/>
                <w:szCs w:val="21"/>
              </w:rPr>
            </w:pPr>
            <w:r>
              <w:rPr>
                <w:rFonts w:hint="eastAsia" w:ascii="宋体" w:hAnsi="宋体" w:eastAsia="宋体" w:cs="宋体"/>
                <w:szCs w:val="21"/>
              </w:rPr>
              <w:t>采用实验室专用高密度PP一体化成型水槽，易清洁，耐腐蚀，且利于台面残水自然回流，美观实用；具耐酸碱、耐有机溶剂、耐紫外线等特点。</w:t>
            </w:r>
            <w:r>
              <w:rPr>
                <w:rFonts w:hint="eastAsia" w:ascii="宋体" w:hAnsi="宋体" w:eastAsia="宋体" w:cs="宋体"/>
                <w:szCs w:val="21"/>
              </w:rPr>
              <w:br w:type="textWrapping"/>
            </w:r>
            <w:r>
              <w:rPr>
                <w:rFonts w:hint="eastAsia" w:ascii="宋体" w:hAnsi="宋体" w:eastAsia="宋体" w:cs="宋体"/>
                <w:szCs w:val="21"/>
              </w:rPr>
              <w:t>实验室专用水槽技术性能满足:QB/T 2658-2017 卫生设备用台盆:</w:t>
            </w:r>
            <w:r>
              <w:rPr>
                <w:rFonts w:hint="eastAsia" w:ascii="宋体" w:hAnsi="宋体" w:eastAsia="宋体" w:cs="宋体"/>
                <w:szCs w:val="21"/>
              </w:rPr>
              <w:br w:type="textWrapping"/>
            </w:r>
            <w:r>
              <w:rPr>
                <w:rFonts w:hint="eastAsia" w:ascii="宋体" w:hAnsi="宋体" w:eastAsia="宋体" w:cs="宋体"/>
                <w:szCs w:val="21"/>
              </w:rPr>
              <w:t>1、外观:产品使用表面应光滑顺畅，不应有划伤、裂纹、气泡、爆边等明显缺陷；</w:t>
            </w:r>
            <w:r>
              <w:rPr>
                <w:rFonts w:hint="eastAsia" w:ascii="宋体" w:hAnsi="宋体" w:eastAsia="宋体" w:cs="宋体"/>
                <w:szCs w:val="21"/>
              </w:rPr>
              <w:br w:type="textWrapping"/>
            </w:r>
            <w:r>
              <w:rPr>
                <w:rFonts w:hint="eastAsia" w:ascii="宋体" w:hAnsi="宋体" w:eastAsia="宋体" w:cs="宋体"/>
                <w:szCs w:val="21"/>
              </w:rPr>
              <w:t>2、抗负载:试验后不应有裂纹、破裂、或永久性变形，但直接受力点的变形不视为不合格；</w:t>
            </w:r>
          </w:p>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采用实验室专用高密度PP一体化成型水槽，易清洁，耐腐蚀，且利于台面残水自然回流，美观实用；具耐酸碱、耐有机溶剂、耐紫外线等特点。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实验室专用水槽技术性能满足:QB/T 2658-2017 卫生设备用台盆:</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1、外观:产品使用表面应光滑顺畅，不应有划伤、裂纹、气泡、爆边等明显缺陷；</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2、抗负载:试验后不应有裂纹、破裂、或永久性变形，但直接受力点的变形不视为不合格；</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3、耐化学腐蚀和耐污染性能:试验后，测试面不应出现不可消除的不良，如污点、损坏等。</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三联高低位龙头</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岛式插座</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1、钢制线盒，主框架采用裸板实际厚度大于1.0mm厚优质钢材产一级高强度镀锌钢板经CNC机压成形、焊接制作，表面经磷化处理、环氧树脂静电粉末涂装处理。</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2.220V交流输出为新国标五孔插座。</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滴水架</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不锈钢材质，高密度PP 类型:单面，底部托盘中间设有排水孔，可拆卸式滴水棒，具有锁扣功能，方便使用的安装方式。</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仪器柜</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规格:</w:t>
            </w:r>
            <w:r>
              <w:rPr>
                <w:rFonts w:hint="eastAsia" w:ascii="宋体" w:hAnsi="宋体" w:eastAsia="宋体" w:cs="宋体"/>
                <w:kern w:val="0"/>
                <w:szCs w:val="21"/>
              </w:rPr>
              <w:t>≥</w:t>
            </w:r>
            <w:r>
              <w:rPr>
                <w:rFonts w:hint="eastAsia" w:ascii="宋体" w:hAnsi="宋体" w:eastAsia="宋体" w:cs="宋体"/>
                <w:color w:val="000000"/>
                <w:kern w:val="0"/>
                <w:szCs w:val="21"/>
              </w:rPr>
              <w:t>1000*500*2000mm。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结构:铝木结构。铝框架结构，立柱采用</w:t>
            </w:r>
            <w:r>
              <w:rPr>
                <w:rFonts w:hint="eastAsia" w:ascii="宋体" w:hAnsi="宋体" w:eastAsia="宋体" w:cs="宋体"/>
                <w:kern w:val="0"/>
                <w:szCs w:val="21"/>
              </w:rPr>
              <w:t>≥</w:t>
            </w:r>
            <w:r>
              <w:rPr>
                <w:rFonts w:hint="eastAsia" w:ascii="宋体" w:hAnsi="宋体" w:eastAsia="宋体" w:cs="宋体"/>
                <w:color w:val="000000"/>
                <w:kern w:val="0"/>
                <w:szCs w:val="21"/>
              </w:rPr>
              <w:t>36*27.5*1.0mm的一体成型带凹槽铝合金模具框架，表面经酸砂处理后喷塑，橱体基材采用</w:t>
            </w:r>
            <w:r>
              <w:rPr>
                <w:rFonts w:hint="eastAsia" w:ascii="宋体" w:hAnsi="宋体" w:eastAsia="宋体" w:cs="宋体"/>
                <w:kern w:val="0"/>
                <w:szCs w:val="21"/>
              </w:rPr>
              <w:t>≥</w:t>
            </w:r>
            <w:r>
              <w:rPr>
                <w:rFonts w:hint="eastAsia" w:ascii="宋体" w:hAnsi="宋体" w:eastAsia="宋体" w:cs="宋体"/>
                <w:color w:val="000000"/>
                <w:kern w:val="0"/>
                <w:szCs w:val="21"/>
              </w:rPr>
              <w:t>16mm厚E1级三聚氰胺板，其截面用</w:t>
            </w:r>
            <w:r>
              <w:rPr>
                <w:rFonts w:hint="eastAsia" w:ascii="宋体" w:hAnsi="宋体" w:eastAsia="宋体" w:cs="宋体"/>
                <w:kern w:val="0"/>
                <w:szCs w:val="21"/>
              </w:rPr>
              <w:t>≥</w:t>
            </w:r>
            <w:r>
              <w:rPr>
                <w:rFonts w:hint="eastAsia" w:ascii="宋体" w:hAnsi="宋体" w:eastAsia="宋体" w:cs="宋体"/>
                <w:color w:val="000000"/>
                <w:kern w:val="0"/>
                <w:szCs w:val="21"/>
              </w:rPr>
              <w:t>2mm厚PVC封边条机械高温热熔胶封边，嵌在铝合金凹槽内，具有粘力强、密封性好，牢固、美观、耐用的特点；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连接件:ABS专用连接组装件 ；</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隔板:两块层板为</w:t>
            </w:r>
            <w:r>
              <w:rPr>
                <w:rFonts w:hint="eastAsia" w:ascii="宋体" w:hAnsi="宋体" w:eastAsia="宋体" w:cs="宋体"/>
                <w:kern w:val="0"/>
                <w:szCs w:val="21"/>
              </w:rPr>
              <w:t>≥</w:t>
            </w:r>
            <w:r>
              <w:rPr>
                <w:rFonts w:hint="eastAsia" w:ascii="宋体" w:hAnsi="宋体" w:eastAsia="宋体" w:cs="宋体"/>
                <w:color w:val="000000"/>
                <w:kern w:val="0"/>
                <w:szCs w:val="21"/>
              </w:rPr>
              <w:t>16mm三聚氰胺板，长边采用</w:t>
            </w:r>
            <w:r>
              <w:rPr>
                <w:rFonts w:hint="eastAsia" w:ascii="宋体" w:hAnsi="宋体" w:eastAsia="宋体" w:cs="宋体"/>
                <w:kern w:val="0"/>
                <w:szCs w:val="21"/>
              </w:rPr>
              <w:t>≥</w:t>
            </w:r>
            <w:r>
              <w:rPr>
                <w:rFonts w:hint="eastAsia" w:ascii="宋体" w:hAnsi="宋体" w:eastAsia="宋体" w:cs="宋体"/>
                <w:color w:val="000000"/>
                <w:kern w:val="0"/>
                <w:szCs w:val="21"/>
              </w:rPr>
              <w:t>30.5*24mm,壁厚</w:t>
            </w:r>
            <w:r>
              <w:rPr>
                <w:rFonts w:hint="eastAsia" w:ascii="宋体" w:hAnsi="宋体" w:eastAsia="宋体" w:cs="宋体"/>
                <w:kern w:val="0"/>
                <w:szCs w:val="21"/>
              </w:rPr>
              <w:t>≥</w:t>
            </w:r>
            <w:r>
              <w:rPr>
                <w:rFonts w:hint="eastAsia" w:ascii="宋体" w:hAnsi="宋体" w:eastAsia="宋体" w:cs="宋体"/>
                <w:color w:val="000000"/>
                <w:kern w:val="0"/>
                <w:szCs w:val="21"/>
              </w:rPr>
              <w:t>1.2mm专用铝型材加固，防止层板弯曲变形铝型材可以插入标签贴，方便药品及仪器放置分类；</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上柜两扇外开磨边</w:t>
            </w:r>
            <w:r>
              <w:rPr>
                <w:rFonts w:hint="eastAsia" w:ascii="宋体" w:hAnsi="宋体" w:eastAsia="宋体" w:cs="宋体"/>
                <w:kern w:val="0"/>
                <w:szCs w:val="21"/>
              </w:rPr>
              <w:t>≥</w:t>
            </w:r>
            <w:r>
              <w:rPr>
                <w:rFonts w:hint="eastAsia" w:ascii="宋体" w:hAnsi="宋体" w:eastAsia="宋体" w:cs="宋体"/>
                <w:color w:val="000000"/>
                <w:kern w:val="0"/>
                <w:szCs w:val="21"/>
              </w:rPr>
              <w:t>4mm厚钢化玻璃门，门玻璃四周镶嵌ABS黑色装饰条（玻璃门门框采用一块整版制作，不拼接），下柜两扇，双开木门。,设活动隔板一块，钢支架加固；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脚垫:采用特制模具优质注塑脚垫，高度</w:t>
            </w:r>
            <w:r>
              <w:rPr>
                <w:rFonts w:hint="eastAsia" w:ascii="宋体" w:hAnsi="宋体" w:eastAsia="宋体" w:cs="宋体"/>
                <w:kern w:val="0"/>
                <w:szCs w:val="21"/>
              </w:rPr>
              <w:t>≥</w:t>
            </w:r>
            <w:r>
              <w:rPr>
                <w:rFonts w:hint="eastAsia" w:ascii="宋体" w:hAnsi="宋体" w:eastAsia="宋体" w:cs="宋体"/>
                <w:color w:val="000000"/>
                <w:kern w:val="0"/>
                <w:szCs w:val="21"/>
              </w:rPr>
              <w:t>2.5cm，高度可调，可有效防潮。</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75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实验室药品柜（台阶式）</w:t>
            </w:r>
          </w:p>
        </w:tc>
        <w:tc>
          <w:tcPr>
            <w:tcW w:w="3052" w:type="pct"/>
            <w:shd w:val="clear" w:color="auto" w:fill="auto"/>
            <w:vAlign w:val="center"/>
          </w:tcPr>
          <w:p>
            <w:pPr>
              <w:widowControl/>
              <w:spacing w:line="300" w:lineRule="auto"/>
              <w:jc w:val="left"/>
              <w:rPr>
                <w:rFonts w:ascii="宋体" w:hAnsi="宋体" w:eastAsia="宋体" w:cs="宋体"/>
                <w:color w:val="000000"/>
                <w:kern w:val="0"/>
                <w:szCs w:val="21"/>
              </w:rPr>
            </w:pPr>
            <w:r>
              <w:rPr>
                <w:rFonts w:hint="eastAsia" w:ascii="宋体" w:hAnsi="宋体" w:eastAsia="宋体" w:cs="宋体"/>
                <w:color w:val="000000"/>
                <w:kern w:val="0"/>
                <w:szCs w:val="21"/>
              </w:rPr>
              <w:t>规格:</w:t>
            </w:r>
            <w:r>
              <w:rPr>
                <w:rFonts w:hint="eastAsia" w:ascii="宋体" w:hAnsi="宋体" w:eastAsia="宋体" w:cs="宋体"/>
                <w:kern w:val="0"/>
                <w:szCs w:val="21"/>
              </w:rPr>
              <w:t>≥</w:t>
            </w:r>
            <w:r>
              <w:rPr>
                <w:rFonts w:hint="eastAsia" w:ascii="宋体" w:hAnsi="宋体" w:eastAsia="宋体" w:cs="宋体"/>
                <w:color w:val="000000"/>
                <w:kern w:val="0"/>
                <w:szCs w:val="21"/>
              </w:rPr>
              <w:t>1000*500*2000mm。</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结构:铝木结构。铝框架结构，立柱采用</w:t>
            </w:r>
            <w:r>
              <w:rPr>
                <w:rFonts w:hint="eastAsia" w:ascii="宋体" w:hAnsi="宋体" w:eastAsia="宋体" w:cs="宋体"/>
                <w:kern w:val="0"/>
                <w:szCs w:val="21"/>
              </w:rPr>
              <w:t>≥</w:t>
            </w:r>
            <w:r>
              <w:rPr>
                <w:rFonts w:hint="eastAsia" w:ascii="宋体" w:hAnsi="宋体" w:eastAsia="宋体" w:cs="宋体"/>
                <w:color w:val="000000"/>
                <w:kern w:val="0"/>
                <w:szCs w:val="21"/>
              </w:rPr>
              <w:t>36*27.5*1.0mm的一体成型带凹槽铝合金模具框架，表面经酸砂处理后喷塑，橱体基材采用</w:t>
            </w:r>
            <w:r>
              <w:rPr>
                <w:rFonts w:hint="eastAsia" w:ascii="宋体" w:hAnsi="宋体" w:eastAsia="宋体" w:cs="宋体"/>
                <w:kern w:val="0"/>
                <w:szCs w:val="21"/>
              </w:rPr>
              <w:t>≥</w:t>
            </w:r>
            <w:r>
              <w:rPr>
                <w:rFonts w:hint="eastAsia" w:ascii="宋体" w:hAnsi="宋体" w:eastAsia="宋体" w:cs="宋体"/>
                <w:color w:val="000000"/>
                <w:kern w:val="0"/>
                <w:szCs w:val="21"/>
              </w:rPr>
              <w:t>16mm厚E1级三聚氰胺板，其截面用</w:t>
            </w:r>
            <w:r>
              <w:rPr>
                <w:rFonts w:hint="eastAsia" w:ascii="宋体" w:hAnsi="宋体" w:eastAsia="宋体" w:cs="宋体"/>
                <w:kern w:val="0"/>
                <w:szCs w:val="21"/>
              </w:rPr>
              <w:t>≥</w:t>
            </w:r>
            <w:r>
              <w:rPr>
                <w:rFonts w:hint="eastAsia" w:ascii="宋体" w:hAnsi="宋体" w:eastAsia="宋体" w:cs="宋体"/>
                <w:color w:val="000000"/>
                <w:kern w:val="0"/>
                <w:szCs w:val="21"/>
              </w:rPr>
              <w:t>2mm厚PVC封边条机械高温热熔胶封边，嵌在铝合金凹槽内，具有粘力强、密封性好，牢固、美观、耐用的特点；</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连接件:ABS专用连接组装件；</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隔板:上部配置阶梯层板为</w:t>
            </w:r>
            <w:r>
              <w:rPr>
                <w:rFonts w:hint="eastAsia" w:ascii="宋体" w:hAnsi="宋体" w:eastAsia="宋体" w:cs="宋体"/>
                <w:kern w:val="0"/>
                <w:szCs w:val="21"/>
              </w:rPr>
              <w:t>≥</w:t>
            </w:r>
            <w:r>
              <w:rPr>
                <w:rFonts w:hint="eastAsia" w:ascii="宋体" w:hAnsi="宋体" w:eastAsia="宋体" w:cs="宋体"/>
                <w:color w:val="000000"/>
                <w:kern w:val="0"/>
                <w:szCs w:val="21"/>
              </w:rPr>
              <w:t>16mm三聚氰胺板，方便药品及仪器放置分类；</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上柜两扇外开磨边</w:t>
            </w:r>
            <w:r>
              <w:rPr>
                <w:rFonts w:hint="eastAsia" w:ascii="宋体" w:hAnsi="宋体" w:eastAsia="宋体" w:cs="宋体"/>
                <w:kern w:val="0"/>
                <w:szCs w:val="21"/>
              </w:rPr>
              <w:t>≥</w:t>
            </w:r>
            <w:r>
              <w:rPr>
                <w:rFonts w:hint="eastAsia" w:ascii="宋体" w:hAnsi="宋体" w:eastAsia="宋体" w:cs="宋体"/>
                <w:color w:val="000000"/>
                <w:kern w:val="0"/>
                <w:szCs w:val="21"/>
              </w:rPr>
              <w:t>4mm厚钢化玻璃门，门玻璃四周镶嵌ABS黑色装饰条（玻璃门门框采用一块整版制作，不拼接），下柜两扇，双开木门。设活动隔板一块，钢支架加固；</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脚垫:采用特制模具优质注塑脚垫，高度</w:t>
            </w:r>
            <w:r>
              <w:rPr>
                <w:rFonts w:hint="eastAsia" w:ascii="宋体" w:hAnsi="宋体" w:eastAsia="宋体" w:cs="宋体"/>
                <w:kern w:val="0"/>
                <w:szCs w:val="21"/>
              </w:rPr>
              <w:t>≥</w:t>
            </w:r>
            <w:r>
              <w:rPr>
                <w:rFonts w:hint="eastAsia" w:ascii="宋体" w:hAnsi="宋体" w:eastAsia="宋体" w:cs="宋体"/>
                <w:color w:val="000000"/>
                <w:kern w:val="0"/>
                <w:szCs w:val="21"/>
              </w:rPr>
              <w:t>2.5cm，高度可调，可有效防潮。</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b/>
                <w:bCs/>
                <w:color w:val="000000"/>
                <w:kern w:val="0"/>
                <w:szCs w:val="21"/>
              </w:rPr>
              <w:t>六</w:t>
            </w:r>
          </w:p>
        </w:tc>
        <w:tc>
          <w:tcPr>
            <w:tcW w:w="755" w:type="pct"/>
            <w:shd w:val="clear" w:color="auto" w:fill="auto"/>
            <w:vAlign w:val="center"/>
          </w:tcPr>
          <w:p>
            <w:pPr>
              <w:spacing w:line="300" w:lineRule="auto"/>
              <w:jc w:val="left"/>
              <w:rPr>
                <w:rFonts w:ascii="宋体" w:hAnsi="宋体" w:eastAsia="宋体" w:cs="宋体"/>
                <w:color w:val="000000"/>
                <w:kern w:val="0"/>
                <w:szCs w:val="21"/>
              </w:rPr>
            </w:pPr>
          </w:p>
        </w:tc>
        <w:tc>
          <w:tcPr>
            <w:tcW w:w="3052"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b/>
                <w:color w:val="000000"/>
                <w:kern w:val="0"/>
                <w:szCs w:val="21"/>
              </w:rPr>
              <w:t>化学药品室</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color w:val="000000"/>
                <w:kern w:val="0"/>
                <w:szCs w:val="21"/>
              </w:rPr>
              <w:t>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color w:val="000000"/>
                <w:kern w:val="0"/>
                <w:szCs w:val="21"/>
              </w:rPr>
              <w:t>护目镜</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color w:val="000000"/>
                <w:kern w:val="0"/>
                <w:szCs w:val="21"/>
              </w:rPr>
              <w:t>耐酸碱，抗冲击，耐磨，便于清洗，带侧光板型或封闭型。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防护面罩</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防冲击面屏，聚碳酸酯材质，耐45m/s粒子冲击，通过弹簧箍与安全帽相连，面屏可更换，起到头部与面部双重保护作用，光洁，透明度高。</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防毒口罩</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E型（标色:黄），防止吸入酸性气体或蒸气。</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防毒口罩</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CO型（标色:白），防止吸入一氧化碳气体。</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耐酸手套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机械性能不低于3级，无破损，手套应有长度≥15cm的套袖。</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双</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电加热器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密封式。</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列管式烘干器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由外壳不少于13支通风管、电源线、发热器、风扇等组成。通风管用外径≥12mm的金属管制作，管壁厚≥2mm，长度≥185mm，每支通风管上均布10个直径≥5mm的通气孔。功率≥250W，绝缘电阻大于100MΩ。</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教学电源</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交流2V～12V，5A，每2V一档；直流1.5V～12V，2A，分为1.5V、3V、4.5V、6V、9V、12V，共6档。</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仪器车</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规格:≥600mm×400mm×800mm，不锈钢材质，至少两层，各层带可拆卸护栏，总载重≥60kg。</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辆</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试剂瓶托盘</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搪瓷材质，内沿规格:≥400mm×290mm×50mm。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一字螺丝刀</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规格:≥Ф6mm，长150mm，工作端带磁性。</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十字螺丝刀</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规格:≥Ф6mm，长150mm，工作端带磁性。</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钢丝钳</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规格:≥160mm。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把</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钢锤</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规格:≥0.25kg，羊角锤。</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把</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三角锉</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规格:≥250mm，带柄。</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民用剪刀</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3号，规格:≥150mm，A型。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把</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打孔器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刀口式，材质为不锈钢管、钢管或黄铜管，每组不少于4支，外径分别为9mm、8mm、7mm、6mm，配一支带柄金属通扦。</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打孔夹板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硬木或硬塑料制。</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打孔器刮刀</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刮刀宜用规格:≥65M板制成，表面热处理，55HRC～60HRC，总长为70mm±0.5mm，宽14.5mm±0.1mm，厚1.8mm±0.5mm，刀口角度宜为60°±5°，锋刃＜0.1mm。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电动钻孔器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钻头可拆卸，应配有2个以上不同孔径的钻头。</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托盘天平</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100g，0.1g。</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托盘天平</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500g，0.5g。</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红液温度计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0℃～100℃，分度值1℃，示值误差＜1.5℃。</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水银温度计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0℃～200℃，分度值1℃，示值误差＜0.5℃，有保护套。</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多用电表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直流电流、电压、电阻2.5级，交流电压5级。</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酸度计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笔式，pH测量范围0～14，分辨力0.1，读数清晰，有自动关机节电模式，配校准试剂方形座，含铁夹、复夹、铁圈，重心稳定不晃动。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教学支架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方形座，含铁夹、复夹、铁圈，重心稳定不晃动，夹持器内侧应有垫衬。</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三脚架</w:t>
            </w:r>
          </w:p>
        </w:tc>
        <w:tc>
          <w:tcPr>
            <w:tcW w:w="3052" w:type="pct"/>
            <w:shd w:val="clear" w:color="auto" w:fill="auto"/>
            <w:vAlign w:val="center"/>
          </w:tcPr>
          <w:p>
            <w:pPr>
              <w:widowControl/>
              <w:spacing w:line="300" w:lineRule="auto"/>
              <w:rPr>
                <w:rFonts w:ascii="宋体" w:hAnsi="宋体" w:eastAsia="宋体" w:cs="宋体"/>
                <w:kern w:val="0"/>
                <w:szCs w:val="21"/>
              </w:rPr>
            </w:pPr>
            <w:r>
              <w:rPr>
                <w:rFonts w:hint="eastAsia" w:ascii="宋体" w:hAnsi="宋体" w:eastAsia="宋体" w:cs="宋体"/>
                <w:kern w:val="0"/>
                <w:szCs w:val="21"/>
              </w:rPr>
              <w:t>材质:铁。</w:t>
            </w:r>
          </w:p>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规格:≥环内径75mm，高150mm。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木制或塑料制，8孔，孔径≥21mm，立柱粘结。</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木制或塑料制，8孔，孔径:≥25mm。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木制或塑料制，8孔，孔径:≥35mm。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　</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漏斗架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木制或塑料制。</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滴定台</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人造石或大理石白色台面，重心稳定不晃动，底部有四个橡胶垫脚。</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滴定夹</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铝制，加持部位有防滑脱凹槽。</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多用滴管架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塑料制，底部有圆形凹槽。</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量筒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量筒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量筒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39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量筒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量筒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容量瓶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容量瓶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滴定管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酸式，具塞，规格:≥25mL。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滴定管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碱式，无塞，规格:≥25m。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规格:≥Φ12mm×70mm。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规格:≥Φ15mm×150mm。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规格:≥Φ18mm×180mm。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规格:≥Φ20mm×200mm。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49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规格:≥Φ32mm×200mm。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口部具支试管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规格:≥Φ20mm×200mm。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硬质玻璃管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规格:≥Φ15mm×150mm。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硬质玻璃管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规格:≥Φ20mm×250mm。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59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规格:≥250mL，圆底。</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规格:≥250mL，平底。</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锥形瓶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锥形瓶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蒸馏烧瓶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集气瓶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集气瓶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液封除毒气集气瓶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69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茶色广口瓶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79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规格:≥3000mL。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茶色细口瓶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规格:≥30mL。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茶色滴瓶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规格:≥30mL。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89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茶色滴瓶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酒精灯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干燥器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气体发生器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冷凝器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规格:≥300mm。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牛角管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规格:≥Φ18mm×150mm。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规格:≥90mm。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安全漏斗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直形，规格:≥径长300mm。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安全漏斗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双球。</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99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分液漏斗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规格:≥50mL，锥型。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分液漏斗</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规格:≥50mL，球型。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三通连接管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T形。</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三通连接管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Y形。</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滴管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干燥管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规格:≥145mm，单球。</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干燥管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规格:≥Φ15mm×150mm，U型。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玻璃活塞</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直形。</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坩埚钳</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规格:≥200mm，钢制，中间弯曲部分内径应在2cm～3cm。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109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烧杯夹</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钢制或不锈钢制，夹持部位应有橡胶保护套，避免与玻璃烧杯直接接触。</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镊子</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不锈钢制，平头，长:≥125mm，钢板厚≥1.2mm，前部应有防滑脱锯齿。</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试管夹</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木制或者竹制，长度200mm，宽度约20mm，厚度约20mm。试管夹闭口缝≤1mm，开口距离规格:≥25mm。毡块粘接牢固，试管夹弹簧作防锈处理。试管夹持部位圆弧内径≤15mm。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止水皮管夹</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规格:≥Φ3mm钢丝制成，作防锈处理，夹持角度60º，弹性好，不漏液。</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螺旋皮管夹</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由支架管和带压板的螺杆等组成。外形尺寸约为33mm×20mm×8mm，旋转方便，不易变形，压板厚度规格:≥1mm。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石棉网</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金属网尺寸规格:≥125mm×125mm，规格:≥0.8mm钢丝制成，石棉材料不易脱落，石棉网边缘钢丝应作简单处理。</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燃烧匙</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铜勺，勺直径规格:≥18mm，深规格:≥10mm，铁柄，柄长约300mm，长柄和铜勺连接稳定结实。</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药匙</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规格:≥长度13cm，带小勺，材质可选金属、牛角、塑料。</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规格:≥Φ5mm～6mm。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规格:≥Φ7mm～8mm。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119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玻璃弯管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规格:≥Φ7mm～8mm。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规格:≥Φ5mm～6mm。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玻璃棒</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规格:≥Φ7mm～8mm。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橡胶塞</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000、00、0～10号。</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橡胶管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外径:≥9mm，内径:≥6mm。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kg</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乳胶管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外径:≥6mm，内径:≥4mm。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m</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乳胶管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外径:≥7mm，内径:≥5mm。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m</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乳胶管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外径规格:≥9mm，内径规格:≥6mm。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m</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试管刷</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规格:≥Φ12mm。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试管刷</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规格:≥Φ18mm。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129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试管刷</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规格:≥Φ32mm。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烧瓶刷</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规格:≥250mL，烧瓶用。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烧瓶刷</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规格:≥500mL，烧瓶用。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结晶皿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规格:≥80mm，平底。</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表面皿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表面皿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研钵</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规格:≥60mm。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研钵</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蒸发皿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蒸发皿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139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反应板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白色陶瓷，6孔，表面有釉层，不会发生溶液渗透。</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井穴板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透明塑料，9孔，每孔:≥0.7mL，可以重复使用。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井穴板</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透明塑料，6孔，每孔:≥5mL，配6个双导气管的井穴塞，可以重复使用。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塑料多用滴管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弹性圆筒形吸泡和一根Φ1mm×120mm的径管连接而成，容积规格:≥4mL，环保材料，弹性好。</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支</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塑料洗瓶</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250mL或500mL，水嘴略向下倾斜，口径1mm～2mm，瓶口紧实不漏气。</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塑料水槽</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规格:≥250mm×180mm×100mm。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集气瓶挂扣器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规格:≥125mL，塑料制。</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集气瓶挂扣器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规格:≥250mL，塑料制。</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注射器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规格:≥10mL，塑料制，符合医用器具卫生标准。</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酒精喷灯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坐式，铜制，壶体容积规格:≥300mL，火焰高度为150mm～180mm，火焰温度为960℃±60℃。</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149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储气装置</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容积:≥2L。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初中化学实验材料</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黄铜片、硬铝片、火柴、蜡烛、木板、电池、电珠、砂纸、面粉、凡士林等。</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份</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pH广泛试纸</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1～14。</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本</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71"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152</w:t>
            </w:r>
          </w:p>
        </w:tc>
        <w:tc>
          <w:tcPr>
            <w:tcW w:w="755" w:type="pct"/>
            <w:shd w:val="clear" w:color="auto" w:fill="auto"/>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蓝石蕊试纸</w:t>
            </w:r>
          </w:p>
        </w:tc>
        <w:tc>
          <w:tcPr>
            <w:tcW w:w="3052" w:type="pct"/>
            <w:shd w:val="clear" w:color="auto" w:fill="auto"/>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每本≥80片。</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本</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红石蕊试纸</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每本≥80片。</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本</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定性滤纸</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快速，≥9cm，100张。</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定性滤纸</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快速，≥15cm，100张。</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金属矿物、金属及合金标本</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标本盒:≥180mm×150mm×50mm，每种类型不少于5种，耐用，不易损坏，便于保存，适合观察。</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溶液导电演示器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电表式，10mA，DC6V，串联电位器1kΩ，电阻560Ω。五组溶液同时比较，1×7开关（其中一档校准），采用不锈钢或石墨电极。</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微型溶液导电实验器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所需每种溶液≤3mL。</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159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水电解演示器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电解液为10％NaOH或者5％H2SO4溶液，碱式或酸式。实验时间:制取30mL氢气，使用电压9V，时间约5min。制取氢气一端的气体出口应采用尖嘴导管。制取氧气一端的气体出口应采用贮气漏斗。贮气漏斗的容积应为10mL。加液漏斗容积80mL。电极材料应使电解水时产生的氢气与氧气的体积之比为2:1，误差≤5％玻璃仪器无明显外观缺陷，便于操作、耐用，电极不易损坏；刻度清晰耐磨，示数易于读取。</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金刚石结构模型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碳原子:≥Φ30mm的4孔黑色塑料球:≥30个；化学键:≥Φ3mm×35mm镀镍金属杆≥40根。</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石墨结构模型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碳原子:≥Φ30mm的5孔黑色塑料球≥39个；化学键:≥Φ3mm×50mm镀镍金属杆≥45根，≥Φ3mm×90mm镀镍金属杆≥14根。</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碳-60结构模型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碳原子:≥Φ30mm的3孔黑色塑料球≥60个；化学键:≥Φ6mm×25mm的镀镍金属杆≥90根。</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碘升华凝华管</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Φ34mm×28mm，应采用无色透明硼硅酸盐玻璃制造，手柄与主管应连接平滑牢固，不应偏歪；主管应加碘后密封，两端面呈球面凹形，手柄靠近主管处应密封；玻璃仪器均匀透明无气泡，耐用，不易碎，采用酒精灯加热不易变形。</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分子结构模型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球棍式或比例式；≥Φ40mm塑料球:碳原子（黑色）≥4个，氧原子（红色）≥13个，原子（深蓝色）≥2个，硫原子（黄色）2个；≥Φ30mm塑料球:氢原子（白色）≥12个能够完成水、氢气、氧气、二氧化碳等分子模型的搭建。</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氯化钠晶体结构模型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球棍式，氯原子≥Φ30mm的6孔绿色塑料球≥13个；钠原子≥Φ30mm的6孔银灰色塑料球≥14个；化学键:≥Φ3mm×60mm的镀镍金属杆≥54根。</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元素周期表</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带轴，≥150cm×110cm，字迹信息清晰，易于观看。</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件</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167</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原油常见馏分标本</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不少于8种，耐用，易于储存，便于观察，密封完好，固定牢固。</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168</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炼铁高炉模型</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模型高度≥650mm。主要结构应用标签注明，标注应准确、清晰、牢固。各部件位置正确、连接牢固，不得因正常震动、碰触而开裂、松脱。</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169</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合成有机高分子材料标本</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不少于10种，材料新颖，标识清楚，固定结实，不易脱落。</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170</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新型无机非金属材料标本</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标本盒体积≥180mm×150mm×50mm，包括氧化铝陶瓷、氮化硅陶瓷、光导纤维等，材料新颖，标识清楚，固定结实，不易脱落。陶瓷和玻璃切割整齐，美观。</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盒</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易燃品储存柜</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规格≥900*500*2000mm。</w:t>
            </w:r>
            <w:r>
              <w:rPr>
                <w:rFonts w:hint="eastAsia" w:ascii="宋体" w:hAnsi="宋体" w:eastAsia="宋体" w:cs="宋体"/>
                <w:kern w:val="0"/>
                <w:szCs w:val="21"/>
              </w:rPr>
              <w:br w:type="textWrapping"/>
            </w:r>
            <w:r>
              <w:rPr>
                <w:rFonts w:hint="eastAsia" w:ascii="宋体" w:hAnsi="宋体" w:eastAsia="宋体" w:cs="宋体"/>
                <w:kern w:val="0"/>
                <w:szCs w:val="21"/>
              </w:rPr>
              <w:t>1.外壳体全部采用≥1.0mm的镀锌钢板，柜体底座采用≥1.5mm的镀锌钢板,内外表面经酸洗磷化环氧树脂粉末喷涂，烘热固化处理。 </w:t>
            </w:r>
            <w:r>
              <w:rPr>
                <w:rFonts w:hint="eastAsia" w:ascii="宋体" w:hAnsi="宋体" w:eastAsia="宋体" w:cs="宋体"/>
                <w:kern w:val="0"/>
                <w:szCs w:val="21"/>
              </w:rPr>
              <w:br w:type="textWrapping"/>
            </w:r>
            <w:r>
              <w:rPr>
                <w:rFonts w:hint="eastAsia" w:ascii="宋体" w:hAnsi="宋体" w:eastAsia="宋体" w:cs="宋体"/>
                <w:kern w:val="0"/>
                <w:szCs w:val="21"/>
              </w:rPr>
              <w:t>2.柜体内胆（上，下、左、右及层板阶梯）全部采用≥5mm抗倍特；柜体的底板中部有≥Φ35mm漏液孔；柜体底部设h=120mm底座，底部焊接加固方管，可方便用于叉车运输，柜底设有抽屉底部最下层留有可以存放不少于40mm厚黄沙的填埋腔，用于稳定柜体及埋放金属钠、黄磷（白磷）等的易燃物品。</w:t>
            </w:r>
            <w:r>
              <w:rPr>
                <w:rFonts w:hint="eastAsia" w:ascii="宋体" w:hAnsi="宋体" w:eastAsia="宋体" w:cs="宋体"/>
                <w:kern w:val="0"/>
                <w:szCs w:val="21"/>
              </w:rPr>
              <w:br w:type="textWrapping"/>
            </w:r>
            <w:r>
              <w:rPr>
                <w:rFonts w:hint="eastAsia" w:ascii="宋体" w:hAnsi="宋体" w:eastAsia="宋体" w:cs="宋体"/>
                <w:kern w:val="0"/>
                <w:szCs w:val="21"/>
              </w:rPr>
              <w:t>3.柜中部有三层阶梯式的PP板，下层搁板外沿镶装有≥H48.5*W16.5（mm）pp护栏,护栏中间嵌有警示红，警示蓝，警示黄的≥0.5mm厚度的pvc装饰条，分别区分碱性，酸性药品和易燃品的存放；每个搁板靠背板处有一导流风口，阶梯每层高度5≥0mm。</w:t>
            </w:r>
            <w:r>
              <w:rPr>
                <w:rFonts w:hint="eastAsia" w:ascii="宋体" w:hAnsi="宋体" w:eastAsia="宋体" w:cs="宋体"/>
                <w:kern w:val="0"/>
                <w:szCs w:val="21"/>
              </w:rPr>
              <w:br w:type="textWrapping"/>
            </w:r>
            <w:r>
              <w:rPr>
                <w:rFonts w:hint="eastAsia" w:ascii="宋体" w:hAnsi="宋体" w:eastAsia="宋体" w:cs="宋体"/>
                <w:kern w:val="0"/>
                <w:szCs w:val="21"/>
              </w:rPr>
              <w:t>4.柜顶部中间有≥Φ100mmABS塑料耐腐蚀可调节中央空调旋转出风口，柜顶风口内置一个AC220V、50HZ、管道风机排风量≥130m³/h，并设置定时器，温度上下限控制开关环境温度（-40~+60）℃，可设置每天排风温度及智能报警，时控开关置于柜顶右侧，可控制风机每天、每周开启时间及关闭时间方便易燃品品储存柜操作使用。</w:t>
            </w:r>
            <w:r>
              <w:rPr>
                <w:rFonts w:hint="eastAsia" w:ascii="宋体" w:hAnsi="宋体" w:eastAsia="宋体" w:cs="宋体"/>
                <w:kern w:val="0"/>
                <w:szCs w:val="21"/>
              </w:rPr>
              <w:br w:type="textWrapping"/>
            </w:r>
            <w:r>
              <w:rPr>
                <w:rFonts w:hint="eastAsia" w:ascii="宋体" w:hAnsi="宋体" w:eastAsia="宋体" w:cs="宋体"/>
                <w:kern w:val="0"/>
                <w:szCs w:val="21"/>
              </w:rPr>
              <w:t>5.带有一把机械天地锁，一把感应锁、左边门带一把电磁，防止不正常打开、锁带有应急钥匙，当右门打开时，报警提醒用户门已经打开模式，及时关好门。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毒害品储存柜</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规格≥900*500*2000mm。</w:t>
            </w:r>
            <w:r>
              <w:rPr>
                <w:rFonts w:hint="eastAsia" w:ascii="宋体" w:hAnsi="宋体" w:eastAsia="宋体" w:cs="宋体"/>
                <w:kern w:val="0"/>
                <w:szCs w:val="21"/>
              </w:rPr>
              <w:br w:type="textWrapping"/>
            </w:r>
            <w:r>
              <w:rPr>
                <w:rFonts w:hint="eastAsia" w:ascii="宋体" w:hAnsi="宋体" w:eastAsia="宋体" w:cs="宋体"/>
                <w:kern w:val="0"/>
                <w:szCs w:val="21"/>
              </w:rPr>
              <w:t>1.外壳体全部采用≥1.0mm的镀锌钢板，柜体底座采用≥1.5mm的镀锌钢板,内外表面经酸洗磷化环氧树脂粉末喷涂，烘热固化处理。 </w:t>
            </w:r>
            <w:r>
              <w:rPr>
                <w:rFonts w:hint="eastAsia" w:ascii="宋体" w:hAnsi="宋体" w:eastAsia="宋体" w:cs="宋体"/>
                <w:kern w:val="0"/>
                <w:szCs w:val="21"/>
              </w:rPr>
              <w:br w:type="textWrapping"/>
            </w:r>
            <w:r>
              <w:rPr>
                <w:rFonts w:hint="eastAsia" w:ascii="宋体" w:hAnsi="宋体" w:eastAsia="宋体" w:cs="宋体"/>
                <w:kern w:val="0"/>
                <w:szCs w:val="21"/>
              </w:rPr>
              <w:t>2.柜体内胆（上，下、左、右及层板阶梯）全部采用≥5mm抗倍特；柜体的底板中部有≥Φ35mm漏液孔；柜体底部设≥h=120mm底座，底部焊接加固方管，可方便用于叉车运输，柜底设有抽屉底部最下层留有可以存放不少于40mm厚黄沙的填埋腔，用于稳定柜体及埋放金属钠、黄磷（白磷）等的易燃物品。</w:t>
            </w:r>
            <w:r>
              <w:rPr>
                <w:rFonts w:hint="eastAsia" w:ascii="宋体" w:hAnsi="宋体" w:eastAsia="宋体" w:cs="宋体"/>
                <w:kern w:val="0"/>
                <w:szCs w:val="21"/>
              </w:rPr>
              <w:br w:type="textWrapping"/>
            </w:r>
            <w:r>
              <w:rPr>
                <w:rFonts w:hint="eastAsia" w:ascii="宋体" w:hAnsi="宋体" w:eastAsia="宋体" w:cs="宋体"/>
                <w:kern w:val="0"/>
                <w:szCs w:val="21"/>
              </w:rPr>
              <w:t>3.柜中部有三层阶梯式的PP板，下层搁板外沿镶装有≥H48.5*W16.5（mm）pp护栏,护栏中间嵌有警示红，警示蓝，警示黄的≥0.5mm厚度的pvc装饰条，分别区分碱性，酸性药品和易燃品的存放；每个搁板靠背板处有一导流风口，阶梯每层高度≥50mm。</w:t>
            </w:r>
            <w:r>
              <w:rPr>
                <w:rFonts w:hint="eastAsia" w:ascii="宋体" w:hAnsi="宋体" w:eastAsia="宋体" w:cs="宋体"/>
                <w:kern w:val="0"/>
                <w:szCs w:val="21"/>
              </w:rPr>
              <w:br w:type="textWrapping"/>
            </w:r>
            <w:r>
              <w:rPr>
                <w:rFonts w:hint="eastAsia" w:ascii="宋体" w:hAnsi="宋体" w:eastAsia="宋体" w:cs="宋体"/>
                <w:kern w:val="0"/>
                <w:szCs w:val="21"/>
              </w:rPr>
              <w:t>4.柜顶部中间有≥Φ100mmABS塑料耐腐蚀可调节中央空调旋转出风口，柜顶风口内置一个AC220V、50HZ、管道风机排风量≥130m³/h，并设置定时器，温度上下限控制开关环境温度（-40~+60）℃，可设置每天排风温度及智能报警，时控开关置于柜顶右侧，可控制风机每天、每周开启时间及关闭时间方便毒害品储存柜操作使用。</w:t>
            </w:r>
            <w:r>
              <w:rPr>
                <w:rFonts w:hint="eastAsia" w:ascii="宋体" w:hAnsi="宋体" w:eastAsia="宋体" w:cs="宋体"/>
                <w:kern w:val="0"/>
                <w:szCs w:val="21"/>
              </w:rPr>
              <w:br w:type="textWrapping"/>
            </w:r>
            <w:r>
              <w:rPr>
                <w:rFonts w:hint="eastAsia" w:ascii="宋体" w:hAnsi="宋体" w:eastAsia="宋体" w:cs="宋体"/>
                <w:kern w:val="0"/>
                <w:szCs w:val="21"/>
              </w:rPr>
              <w:t>5.带有一把机械天地锁，一把感应锁、左边门带一把电磁，防止不正常打开、锁带有应急钥匙，当右门打开时，报警提醒用户门已经打开模式，及时关好门。</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173</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窗帘</w:t>
            </w:r>
          </w:p>
        </w:tc>
        <w:tc>
          <w:tcPr>
            <w:tcW w:w="3052" w:type="pct"/>
            <w:shd w:val="clear" w:color="auto" w:fill="auto"/>
            <w:vAlign w:val="center"/>
          </w:tcPr>
          <w:p>
            <w:pPr>
              <w:widowControl/>
              <w:numPr>
                <w:ilvl w:val="0"/>
                <w:numId w:val="12"/>
              </w:numPr>
              <w:spacing w:line="300" w:lineRule="auto"/>
              <w:rPr>
                <w:rFonts w:ascii="宋体" w:hAnsi="宋体" w:eastAsia="宋体" w:cs="宋体"/>
                <w:kern w:val="0"/>
                <w:szCs w:val="21"/>
              </w:rPr>
            </w:pPr>
            <w:r>
              <w:rPr>
                <w:rFonts w:hint="eastAsia" w:ascii="宋体" w:hAnsi="宋体" w:eastAsia="宋体" w:cs="宋体"/>
                <w:kern w:val="0"/>
                <w:szCs w:val="21"/>
              </w:rPr>
              <w:t>规格及尺寸:1个窗户需卷帘约3.8㎡。</w:t>
            </w:r>
            <w:r>
              <w:rPr>
                <w:rFonts w:hint="eastAsia" w:ascii="宋体" w:hAnsi="宋体" w:eastAsia="宋体" w:cs="宋体"/>
                <w:kern w:val="0"/>
                <w:szCs w:val="21"/>
              </w:rPr>
              <w:br w:type="textWrapping"/>
            </w:r>
            <w:r>
              <w:rPr>
                <w:rFonts w:hint="eastAsia" w:ascii="宋体" w:hAnsi="宋体" w:eastAsia="宋体" w:cs="宋体"/>
                <w:kern w:val="0"/>
                <w:szCs w:val="21"/>
              </w:rPr>
              <w:t>材质及参数:1.遮阳帘织物表面不应有破损、明显折痕、破条、不可清除的污垢、色差、毛边、荷叶边，拼接处不应发生裂缝、跳缝、脱线。条纹布料的条纹应对齐，其允许偏差不应大于3.0mm。</w:t>
            </w:r>
            <w:r>
              <w:rPr>
                <w:rFonts w:hint="eastAsia" w:ascii="宋体" w:hAnsi="宋体" w:eastAsia="宋体" w:cs="宋体"/>
                <w:kern w:val="0"/>
                <w:szCs w:val="21"/>
              </w:rPr>
              <w:br w:type="textWrapping"/>
            </w:r>
            <w:r>
              <w:rPr>
                <w:rFonts w:hint="eastAsia" w:ascii="宋体" w:hAnsi="宋体" w:eastAsia="宋体" w:cs="宋体"/>
                <w:kern w:val="0"/>
                <w:szCs w:val="21"/>
              </w:rPr>
              <w:t>2.色牢度与耐气候色牢度。</w:t>
            </w:r>
            <w:r>
              <w:rPr>
                <w:rFonts w:hint="eastAsia" w:ascii="宋体" w:hAnsi="宋体" w:eastAsia="宋体" w:cs="宋体"/>
                <w:kern w:val="0"/>
                <w:szCs w:val="21"/>
              </w:rPr>
              <w:br w:type="textWrapping"/>
            </w:r>
            <w:r>
              <w:rPr>
                <w:rFonts w:hint="eastAsia" w:ascii="宋体" w:hAnsi="宋体" w:eastAsia="宋体" w:cs="宋体"/>
                <w:kern w:val="0"/>
                <w:szCs w:val="21"/>
              </w:rPr>
              <w:t>a.遮阳织物色牢度应按照GB／T8427规定的试验方法进行测试，户外遮阳织物的耐人造气候色牢度应按照GB／T8430规定的试验方法进行测试。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b.遮阳织物色牢度等级不低于4级，色牢度等级在7级往上更好。</w:t>
            </w:r>
            <w:r>
              <w:rPr>
                <w:rFonts w:hint="eastAsia" w:ascii="宋体" w:hAnsi="宋体" w:eastAsia="宋体" w:cs="宋体"/>
                <w:kern w:val="0"/>
                <w:szCs w:val="21"/>
              </w:rPr>
              <w:br w:type="textWrapping"/>
            </w:r>
            <w:r>
              <w:rPr>
                <w:rFonts w:hint="eastAsia" w:ascii="宋体" w:hAnsi="宋体" w:eastAsia="宋体" w:cs="宋体"/>
                <w:kern w:val="0"/>
                <w:szCs w:val="21"/>
              </w:rPr>
              <w:t>c.户外遮阳织物耐气候色牢度等级不低于4级，耐气候色牢度等级在7级往上更好。</w:t>
            </w:r>
            <w:r>
              <w:rPr>
                <w:rFonts w:hint="eastAsia" w:ascii="宋体" w:hAnsi="宋体" w:eastAsia="宋体" w:cs="宋体"/>
                <w:kern w:val="0"/>
                <w:szCs w:val="21"/>
              </w:rPr>
              <w:br w:type="textWrapping"/>
            </w:r>
            <w:r>
              <w:rPr>
                <w:rFonts w:hint="eastAsia" w:ascii="宋体" w:hAnsi="宋体" w:eastAsia="宋体" w:cs="宋体"/>
                <w:kern w:val="0"/>
                <w:szCs w:val="21"/>
              </w:rPr>
              <w:t>3.断裂强力。</w:t>
            </w:r>
            <w:r>
              <w:rPr>
                <w:rFonts w:hint="eastAsia" w:ascii="宋体" w:hAnsi="宋体" w:eastAsia="宋体" w:cs="宋体"/>
                <w:kern w:val="0"/>
                <w:szCs w:val="21"/>
              </w:rPr>
              <w:br w:type="textWrapping"/>
            </w:r>
            <w:r>
              <w:rPr>
                <w:rFonts w:hint="eastAsia" w:ascii="宋体" w:hAnsi="宋体" w:eastAsia="宋体" w:cs="宋体"/>
                <w:kern w:val="0"/>
                <w:szCs w:val="21"/>
              </w:rPr>
              <w:t>a.遮阳织物的断裂强力应按照GB／T3923．1规定的试验方法进行测试。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b.遮阳织物以50mm宽带条的最小断裂强力表示，断裂强力应符合经向＞800N、纬向＞500N。</w:t>
            </w:r>
            <w:r>
              <w:rPr>
                <w:rFonts w:hint="eastAsia" w:ascii="宋体" w:hAnsi="宋体" w:eastAsia="宋体" w:cs="宋体"/>
                <w:kern w:val="0"/>
                <w:szCs w:val="21"/>
              </w:rPr>
              <w:br w:type="textWrapping"/>
            </w:r>
            <w:r>
              <w:rPr>
                <w:rFonts w:hint="eastAsia" w:ascii="宋体" w:hAnsi="宋体" w:eastAsia="宋体" w:cs="宋体"/>
                <w:kern w:val="0"/>
                <w:szCs w:val="21"/>
              </w:rPr>
              <w:t>4.撕破强力。</w:t>
            </w:r>
            <w:r>
              <w:rPr>
                <w:rFonts w:hint="eastAsia" w:ascii="宋体" w:hAnsi="宋体" w:eastAsia="宋体" w:cs="宋体"/>
                <w:kern w:val="0"/>
                <w:szCs w:val="21"/>
              </w:rPr>
              <w:br w:type="textWrapping"/>
            </w:r>
            <w:r>
              <w:rPr>
                <w:rFonts w:hint="eastAsia" w:ascii="宋体" w:hAnsi="宋体" w:eastAsia="宋体" w:cs="宋体"/>
                <w:kern w:val="0"/>
                <w:szCs w:val="21"/>
              </w:rPr>
              <w:t>a.遮阳织物的撕破强力应按照GB／T3917．1规定的试验方法进行测试。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b.户外遮阳篷用织物的撕破强力应达到经向大于或等于20N，纬向大于或等于20N。</w:t>
            </w:r>
            <w:r>
              <w:rPr>
                <w:rFonts w:hint="eastAsia" w:ascii="宋体" w:hAnsi="宋体" w:eastAsia="宋体" w:cs="宋体"/>
                <w:kern w:val="0"/>
                <w:szCs w:val="21"/>
              </w:rPr>
              <w:br w:type="textWrapping"/>
            </w:r>
            <w:r>
              <w:rPr>
                <w:rFonts w:hint="eastAsia" w:ascii="宋体" w:hAnsi="宋体" w:eastAsia="宋体" w:cs="宋体"/>
                <w:kern w:val="0"/>
                <w:szCs w:val="21"/>
              </w:rPr>
              <w:t>5.断裂伸长率。</w:t>
            </w:r>
            <w:r>
              <w:rPr>
                <w:rFonts w:hint="eastAsia" w:ascii="宋体" w:hAnsi="宋体" w:eastAsia="宋体" w:cs="宋体"/>
                <w:kern w:val="0"/>
                <w:szCs w:val="21"/>
              </w:rPr>
              <w:br w:type="textWrapping"/>
            </w:r>
            <w:r>
              <w:rPr>
                <w:rFonts w:hint="eastAsia" w:ascii="宋体" w:hAnsi="宋体" w:eastAsia="宋体" w:cs="宋体"/>
                <w:kern w:val="0"/>
                <w:szCs w:val="21"/>
              </w:rPr>
              <w:t>遮阳织物的断裂伸长率应按照GB／T3923．1规定的试验方法进行测试，断裂伸长率等级在2级及以上为好。</w:t>
            </w:r>
            <w:r>
              <w:rPr>
                <w:rFonts w:hint="eastAsia" w:ascii="宋体" w:hAnsi="宋体" w:eastAsia="宋体" w:cs="宋体"/>
                <w:kern w:val="0"/>
                <w:szCs w:val="21"/>
              </w:rPr>
              <w:br w:type="textWrapping"/>
            </w:r>
            <w:r>
              <w:rPr>
                <w:rFonts w:hint="eastAsia" w:ascii="宋体" w:hAnsi="宋体" w:eastAsia="宋体" w:cs="宋体"/>
                <w:kern w:val="0"/>
                <w:szCs w:val="21"/>
              </w:rPr>
              <w:t>6.可见光透射率。</w:t>
            </w:r>
            <w:r>
              <w:rPr>
                <w:rFonts w:hint="eastAsia" w:ascii="宋体" w:hAnsi="宋体" w:eastAsia="宋体" w:cs="宋体"/>
                <w:kern w:val="0"/>
                <w:szCs w:val="21"/>
              </w:rPr>
              <w:br w:type="textWrapping"/>
            </w:r>
            <w:r>
              <w:rPr>
                <w:rFonts w:hint="eastAsia" w:ascii="宋体" w:hAnsi="宋体" w:eastAsia="宋体" w:cs="宋体"/>
                <w:kern w:val="0"/>
                <w:szCs w:val="21"/>
              </w:rPr>
              <w:t>遮阳织物的可见光透射率应按照FZ／T01009规定的试验方法进行测试。织物可见光透射率等级1级不透光、2级弱透光、3级适度透光、4级较强透光。</w:t>
            </w:r>
            <w:r>
              <w:rPr>
                <w:rFonts w:hint="eastAsia" w:ascii="宋体" w:hAnsi="宋体" w:eastAsia="宋体" w:cs="宋体"/>
                <w:kern w:val="0"/>
                <w:szCs w:val="21"/>
              </w:rPr>
              <w:br w:type="textWrapping"/>
            </w:r>
            <w:r>
              <w:rPr>
                <w:rFonts w:hint="eastAsia" w:ascii="宋体" w:hAnsi="宋体" w:eastAsia="宋体" w:cs="宋体"/>
                <w:kern w:val="0"/>
                <w:szCs w:val="21"/>
              </w:rPr>
              <w:t>7.防紫外线性能。</w:t>
            </w:r>
            <w:r>
              <w:rPr>
                <w:rFonts w:hint="eastAsia" w:ascii="宋体" w:hAnsi="宋体" w:eastAsia="宋体" w:cs="宋体"/>
                <w:kern w:val="0"/>
                <w:szCs w:val="21"/>
              </w:rPr>
              <w:br w:type="textWrapping"/>
            </w:r>
            <w:r>
              <w:rPr>
                <w:rFonts w:hint="eastAsia" w:ascii="宋体" w:hAnsi="宋体" w:eastAsia="宋体" w:cs="宋体"/>
                <w:kern w:val="0"/>
                <w:szCs w:val="21"/>
              </w:rPr>
              <w:t>遮阳织物产品的防紫外线性能应按照GB／T18830规定的试验方法进行测试。紫外线防护系数(UPF)大于30、且紫外线透射比T(UVA)小于5％时，可称为防紫外线产品。</w:t>
            </w:r>
            <w:r>
              <w:rPr>
                <w:rFonts w:hint="eastAsia" w:ascii="宋体" w:hAnsi="宋体" w:eastAsia="宋体" w:cs="宋体"/>
                <w:kern w:val="0"/>
                <w:szCs w:val="21"/>
              </w:rPr>
              <w:br w:type="textWrapping"/>
            </w:r>
            <w:r>
              <w:rPr>
                <w:rFonts w:hint="eastAsia" w:ascii="宋体" w:hAnsi="宋体" w:eastAsia="宋体" w:cs="宋体"/>
                <w:kern w:val="0"/>
                <w:szCs w:val="21"/>
              </w:rPr>
              <w:t>8.遮阳系数。</w:t>
            </w:r>
            <w:r>
              <w:rPr>
                <w:rFonts w:hint="eastAsia" w:ascii="宋体" w:hAnsi="宋体" w:eastAsia="宋体" w:cs="宋体"/>
                <w:kern w:val="0"/>
                <w:szCs w:val="21"/>
              </w:rPr>
              <w:br w:type="textWrapping"/>
            </w:r>
            <w:r>
              <w:rPr>
                <w:rFonts w:hint="eastAsia" w:ascii="宋体" w:hAnsi="宋体" w:eastAsia="宋体" w:cs="宋体"/>
                <w:kern w:val="0"/>
                <w:szCs w:val="21"/>
              </w:rPr>
              <w:t>遮阳织物的遮阳系数应参照GB／T2680规定的试验方法进行测试。织物的遮阳系数以SD表示，遮阳系数等级2级及以上为好。</w:t>
            </w:r>
          </w:p>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9.燃烧性能。</w:t>
            </w:r>
            <w:r>
              <w:rPr>
                <w:rFonts w:hint="eastAsia" w:ascii="宋体" w:hAnsi="宋体" w:eastAsia="宋体" w:cs="宋体"/>
                <w:kern w:val="0"/>
                <w:szCs w:val="21"/>
              </w:rPr>
              <w:br w:type="textWrapping"/>
            </w:r>
            <w:r>
              <w:rPr>
                <w:rFonts w:hint="eastAsia" w:ascii="宋体" w:hAnsi="宋体" w:eastAsia="宋体" w:cs="宋体"/>
                <w:kern w:val="0"/>
                <w:szCs w:val="21"/>
              </w:rPr>
              <w:t>遮阳用织物材料的燃烧性能应符合GB8624-2012中燃烧性能A等级的规定。</w:t>
            </w:r>
            <w:r>
              <w:rPr>
                <w:rFonts w:hint="eastAsia" w:ascii="宋体" w:hAnsi="宋体" w:eastAsia="宋体" w:cs="宋体"/>
                <w:kern w:val="0"/>
                <w:szCs w:val="21"/>
              </w:rPr>
              <w:br w:type="textWrapping"/>
            </w:r>
            <w:r>
              <w:rPr>
                <w:rFonts w:hint="eastAsia" w:ascii="宋体" w:hAnsi="宋体" w:eastAsia="宋体" w:cs="宋体"/>
                <w:kern w:val="0"/>
                <w:szCs w:val="21"/>
              </w:rPr>
              <w:t>10.卫生、健康和环境。</w:t>
            </w:r>
            <w:r>
              <w:rPr>
                <w:rFonts w:hint="eastAsia" w:ascii="宋体" w:hAnsi="宋体" w:eastAsia="宋体" w:cs="宋体"/>
                <w:kern w:val="0"/>
                <w:szCs w:val="21"/>
              </w:rPr>
              <w:br w:type="textWrapping"/>
            </w:r>
            <w:r>
              <w:rPr>
                <w:rFonts w:hint="eastAsia" w:ascii="宋体" w:hAnsi="宋体" w:eastAsia="宋体" w:cs="宋体"/>
                <w:kern w:val="0"/>
                <w:szCs w:val="21"/>
              </w:rPr>
              <w:t>a.户内遮阳产品所用的材料，其有害物质限量应符合GB18401，GB18580和GB18586的规定。</w:t>
            </w:r>
            <w:r>
              <w:rPr>
                <w:rFonts w:hint="eastAsia" w:ascii="宋体" w:hAnsi="宋体" w:eastAsia="宋体" w:cs="宋体"/>
                <w:kern w:val="0"/>
                <w:szCs w:val="21"/>
              </w:rPr>
              <w:br w:type="textWrapping"/>
            </w:r>
            <w:r>
              <w:rPr>
                <w:rFonts w:hint="eastAsia" w:ascii="宋体" w:hAnsi="宋体" w:eastAsia="宋体" w:cs="宋体"/>
                <w:kern w:val="0"/>
                <w:szCs w:val="21"/>
              </w:rPr>
              <w:t>b.在外部环境条件的作用下，遮阳产品所用的织物应不利于微生物的生长。人造织物应采用抗真菌、抗霉变方法处理。</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174</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灭火毯</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玻璃纤维材质，≥1200mm×1800mm。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件</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175</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简易急救箱</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箱内包括:烧伤药膏，医用酒精，碘伏，创可贴，胶布，绷带，卫生棉签，剪刀，镊子，止血带（长度30cm）等，塑料箱。</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个</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176</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烘干箱</w:t>
            </w:r>
          </w:p>
        </w:tc>
        <w:tc>
          <w:tcPr>
            <w:tcW w:w="3052" w:type="pct"/>
            <w:shd w:val="clear" w:color="auto" w:fill="auto"/>
            <w:vAlign w:val="center"/>
          </w:tcPr>
          <w:p>
            <w:pPr>
              <w:widowControl/>
              <w:spacing w:line="300" w:lineRule="auto"/>
              <w:rPr>
                <w:rFonts w:ascii="宋体" w:hAnsi="宋体" w:eastAsia="宋体" w:cs="宋体"/>
                <w:color w:val="000000"/>
                <w:kern w:val="0"/>
                <w:szCs w:val="21"/>
              </w:rPr>
            </w:pPr>
            <w:r>
              <w:rPr>
                <w:rFonts w:hint="eastAsia" w:ascii="宋体" w:hAnsi="宋体" w:eastAsia="宋体" w:cs="宋体"/>
                <w:kern w:val="0"/>
                <w:szCs w:val="21"/>
              </w:rPr>
              <w:t>电热鼓风型，功率≥600W，1.5级（温度均匀性为±0.03℃，温度波动性为1.5℃），烘干温度250℃以下，箱体内有隔板，内部容积≥350mm×350mm×350mm。</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b/>
                <w:bCs/>
                <w:color w:val="000000"/>
                <w:kern w:val="0"/>
                <w:szCs w:val="21"/>
              </w:rPr>
              <w:t>七</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p>
        </w:tc>
        <w:tc>
          <w:tcPr>
            <w:tcW w:w="3052"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b/>
                <w:color w:val="000000"/>
                <w:kern w:val="0"/>
                <w:szCs w:val="21"/>
              </w:rPr>
              <w:t>录播教室</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1</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高清录播主机</w:t>
            </w:r>
          </w:p>
        </w:tc>
        <w:tc>
          <w:tcPr>
            <w:tcW w:w="3052" w:type="pct"/>
            <w:shd w:val="clear" w:color="auto" w:fill="auto"/>
            <w:vAlign w:val="center"/>
          </w:tcPr>
          <w:p>
            <w:pPr>
              <w:widowControl/>
              <w:numPr>
                <w:ilvl w:val="0"/>
                <w:numId w:val="13"/>
              </w:numPr>
              <w:spacing w:line="300" w:lineRule="auto"/>
              <w:jc w:val="left"/>
              <w:rPr>
                <w:rFonts w:ascii="宋体" w:hAnsi="宋体" w:eastAsia="宋体" w:cs="宋体"/>
                <w:szCs w:val="21"/>
              </w:rPr>
            </w:pPr>
            <w:r>
              <w:rPr>
                <w:rFonts w:hint="eastAsia" w:ascii="宋体" w:hAnsi="宋体" w:eastAsia="宋体" w:cs="宋体"/>
                <w:szCs w:val="21"/>
              </w:rPr>
              <w:t>整体设计</w:t>
            </w:r>
            <w:r>
              <w:rPr>
                <w:rFonts w:hint="eastAsia" w:ascii="宋体" w:hAnsi="宋体" w:eastAsia="宋体" w:cs="宋体"/>
                <w:szCs w:val="21"/>
              </w:rPr>
              <w:br w:type="textWrapping"/>
            </w:r>
            <w:r>
              <w:rPr>
                <w:rFonts w:hint="eastAsia" w:ascii="宋体" w:hAnsi="宋体" w:eastAsia="宋体" w:cs="宋体"/>
                <w:szCs w:val="21"/>
              </w:rPr>
              <w:t>1.主机架构:为保障系统运行稳定、安全，要求录播主机采用嵌入式架构设计，非PC、服务器架构。主机为标准1U机架式设备，便于安装部署，并要求录播主机为非壁挂式架构，不存在机身显示屏等产生其他视频、强光源变化从而影响学生课堂专注力。</w:t>
            </w:r>
            <w:r>
              <w:rPr>
                <w:rFonts w:hint="eastAsia" w:ascii="宋体" w:hAnsi="宋体" w:eastAsia="宋体" w:cs="宋体"/>
                <w:szCs w:val="21"/>
              </w:rPr>
              <w:br w:type="textWrapping"/>
            </w:r>
            <w:r>
              <w:rPr>
                <w:rFonts w:hint="eastAsia" w:ascii="宋体" w:hAnsi="宋体" w:eastAsia="宋体" w:cs="宋体"/>
                <w:szCs w:val="21"/>
              </w:rPr>
              <w:t>★2.功能设计:要求主机功能高度集成化，需具备录制、导播、自动跟踪、存储、点播、互动等多功能功于一体，无需额外增加跟踪主机、互动主机等其他主机。提供第三方检测报告复印件。</w:t>
            </w:r>
            <w:r>
              <w:rPr>
                <w:rFonts w:hint="eastAsia" w:ascii="宋体" w:hAnsi="宋体" w:eastAsia="宋体" w:cs="宋体"/>
                <w:szCs w:val="21"/>
              </w:rPr>
              <w:br w:type="textWrapping"/>
            </w:r>
            <w:r>
              <w:rPr>
                <w:rFonts w:hint="eastAsia" w:ascii="宋体" w:hAnsi="宋体" w:eastAsia="宋体" w:cs="宋体"/>
                <w:szCs w:val="21"/>
              </w:rPr>
              <w:t>3.节能环保:应具有嵌入式低功耗环保特性，需采用≦DC36V安全电压供电，整机正常工作状态下功耗≦25W。提供第三方检测报告复印件。</w:t>
            </w:r>
            <w:r>
              <w:rPr>
                <w:rFonts w:hint="eastAsia" w:ascii="宋体" w:hAnsi="宋体" w:eastAsia="宋体" w:cs="宋体"/>
                <w:szCs w:val="21"/>
              </w:rPr>
              <w:br w:type="textWrapping"/>
            </w:r>
            <w:r>
              <w:rPr>
                <w:rFonts w:hint="eastAsia" w:ascii="宋体" w:hAnsi="宋体" w:eastAsia="宋体" w:cs="宋体"/>
                <w:szCs w:val="21"/>
              </w:rPr>
              <w:t>★4.低噪声设计:要求所投录播主机产生噪声最大值20dB(A)。提供第三方检测报告复印件。</w:t>
            </w:r>
            <w:r>
              <w:rPr>
                <w:rFonts w:hint="eastAsia" w:ascii="宋体" w:hAnsi="宋体" w:eastAsia="宋体" w:cs="宋体"/>
                <w:szCs w:val="21"/>
              </w:rPr>
              <w:br w:type="textWrapping"/>
            </w:r>
            <w:r>
              <w:rPr>
                <w:rFonts w:hint="eastAsia" w:ascii="宋体" w:hAnsi="宋体" w:eastAsia="宋体" w:cs="宋体"/>
                <w:szCs w:val="21"/>
              </w:rPr>
              <w:t>5.平台对接:要求支持无缝对接教学视频资源管理系统，实现主机录制生成的视频文件自动上传平台归档。</w:t>
            </w:r>
            <w:r>
              <w:rPr>
                <w:rFonts w:hint="eastAsia" w:ascii="宋体" w:hAnsi="宋体" w:eastAsia="宋体" w:cs="宋体"/>
                <w:szCs w:val="21"/>
              </w:rPr>
              <w:br w:type="textWrapping"/>
            </w:r>
            <w:r>
              <w:rPr>
                <w:rFonts w:hint="eastAsia" w:ascii="宋体" w:hAnsi="宋体" w:eastAsia="宋体" w:cs="宋体"/>
                <w:szCs w:val="21"/>
              </w:rPr>
              <w:t>二.主机性能</w:t>
            </w:r>
            <w:r>
              <w:rPr>
                <w:rFonts w:hint="eastAsia" w:ascii="宋体" w:hAnsi="宋体" w:eastAsia="宋体" w:cs="宋体"/>
                <w:szCs w:val="21"/>
              </w:rPr>
              <w:br w:type="textWrapping"/>
            </w:r>
            <w:r>
              <w:rPr>
                <w:rFonts w:hint="eastAsia" w:ascii="宋体" w:hAnsi="宋体" w:eastAsia="宋体" w:cs="宋体"/>
                <w:szCs w:val="21"/>
              </w:rPr>
              <w:t>1.视频输入输出:具备高清视频输入接口3G-SDI in4、HDMI in2；高清输出接口HDMI out3；且采集和输出分辨率均支持≥1080P@30fps。</w:t>
            </w:r>
            <w:r>
              <w:rPr>
                <w:rFonts w:hint="eastAsia" w:ascii="宋体" w:hAnsi="宋体" w:eastAsia="宋体" w:cs="宋体"/>
                <w:szCs w:val="21"/>
              </w:rPr>
              <w:br w:type="textWrapping"/>
            </w:r>
            <w:r>
              <w:rPr>
                <w:rFonts w:hint="eastAsia" w:ascii="宋体" w:hAnsi="宋体" w:eastAsia="宋体" w:cs="宋体"/>
                <w:szCs w:val="21"/>
              </w:rPr>
              <w:t>2.视频编解码:支持标准H.264视频编解码协议，要求支持1080P30fps、720P30fps分辨率格式编解码。</w:t>
            </w:r>
            <w:r>
              <w:rPr>
                <w:rFonts w:hint="eastAsia" w:ascii="宋体" w:hAnsi="宋体" w:eastAsia="宋体" w:cs="宋体"/>
                <w:szCs w:val="21"/>
              </w:rPr>
              <w:br w:type="textWrapping"/>
            </w:r>
            <w:r>
              <w:rPr>
                <w:rFonts w:hint="eastAsia" w:ascii="宋体" w:hAnsi="宋体" w:eastAsia="宋体" w:cs="宋体"/>
                <w:szCs w:val="21"/>
              </w:rPr>
              <w:t>3★.POC一线通:支持连接摄像机与主机之间通过一根SDI线进行供电、控制、视频信号同传，不接受使用转接器的方式。</w:t>
            </w:r>
            <w:r>
              <w:rPr>
                <w:rFonts w:hint="eastAsia" w:ascii="宋体" w:hAnsi="宋体" w:eastAsia="宋体" w:cs="宋体"/>
                <w:szCs w:val="21"/>
              </w:rPr>
              <w:br w:type="textWrapping"/>
            </w:r>
            <w:r>
              <w:rPr>
                <w:rFonts w:hint="eastAsia" w:ascii="宋体" w:hAnsi="宋体" w:eastAsia="宋体" w:cs="宋体"/>
                <w:szCs w:val="21"/>
              </w:rPr>
              <w:t>★4.音频输入输出:具备数字音频输入接口Digital mic6、线性音频输入接口Line in2；线性音频输出接口Line out2。</w:t>
            </w:r>
            <w:r>
              <w:rPr>
                <w:rFonts w:hint="eastAsia" w:ascii="宋体" w:hAnsi="宋体" w:eastAsia="宋体" w:cs="宋体"/>
                <w:szCs w:val="21"/>
              </w:rPr>
              <w:br w:type="textWrapping"/>
            </w:r>
            <w:r>
              <w:rPr>
                <w:rFonts w:hint="eastAsia" w:ascii="宋体" w:hAnsi="宋体" w:eastAsia="宋体" w:cs="宋体"/>
                <w:szCs w:val="21"/>
              </w:rPr>
              <w:t>5.音频编解码:采用AAC音频编解码协议标准，并支持音频处理功能。</w:t>
            </w:r>
            <w:r>
              <w:rPr>
                <w:rFonts w:hint="eastAsia" w:ascii="宋体" w:hAnsi="宋体" w:eastAsia="宋体" w:cs="宋体"/>
                <w:szCs w:val="21"/>
              </w:rPr>
              <w:br w:type="textWrapping"/>
            </w:r>
            <w:r>
              <w:rPr>
                <w:rFonts w:hint="eastAsia" w:ascii="宋体" w:hAnsi="宋体" w:eastAsia="宋体" w:cs="宋体"/>
                <w:szCs w:val="21"/>
              </w:rPr>
              <w:t>6.日常音频环出:支持主机在通电关机或休眠状态下，仍能按照预设置完成音频信号的输入环出，实现开展日常授课时（不录制、互动等），仍能完成麦克风、电脑等教学音频环出应用且无需重新调整线路。</w:t>
            </w:r>
            <w:r>
              <w:rPr>
                <w:rFonts w:hint="eastAsia" w:ascii="宋体" w:hAnsi="宋体" w:eastAsia="宋体" w:cs="宋体"/>
                <w:szCs w:val="21"/>
              </w:rPr>
              <w:br w:type="textWrapping"/>
            </w:r>
            <w:r>
              <w:rPr>
                <w:rFonts w:hint="eastAsia" w:ascii="宋体" w:hAnsi="宋体" w:eastAsia="宋体" w:cs="宋体"/>
                <w:szCs w:val="21"/>
              </w:rPr>
              <w:t>★7.网络接入:具备标准RJ45网络接口，支持10/100/1000M网络自适应。并要求支持IPv4、IPv6双协议栈。</w:t>
            </w:r>
            <w:r>
              <w:rPr>
                <w:rFonts w:hint="eastAsia" w:ascii="宋体" w:hAnsi="宋体" w:eastAsia="宋体" w:cs="宋体"/>
                <w:szCs w:val="21"/>
              </w:rPr>
              <w:br w:type="textWrapping"/>
            </w:r>
            <w:r>
              <w:rPr>
                <w:rFonts w:hint="eastAsia" w:ascii="宋体" w:hAnsi="宋体" w:eastAsia="宋体" w:cs="宋体"/>
                <w:szCs w:val="21"/>
              </w:rPr>
              <w:t>8.存储容量:内置≥2T存储空间，用于录制视频文件的本地存储。</w:t>
            </w:r>
            <w:r>
              <w:rPr>
                <w:rFonts w:hint="eastAsia" w:ascii="宋体" w:hAnsi="宋体" w:eastAsia="宋体" w:cs="宋体"/>
                <w:szCs w:val="21"/>
              </w:rPr>
              <w:br w:type="textWrapping"/>
            </w:r>
            <w:r>
              <w:rPr>
                <w:rFonts w:hint="eastAsia" w:ascii="宋体" w:hAnsi="宋体" w:eastAsia="宋体" w:cs="宋体"/>
                <w:szCs w:val="21"/>
              </w:rPr>
              <w:t>9.主机控制:具备Console控制接口2，支持RS232/422协议。</w:t>
            </w:r>
            <w:r>
              <w:rPr>
                <w:rFonts w:hint="eastAsia" w:ascii="宋体" w:hAnsi="宋体" w:eastAsia="宋体" w:cs="宋体"/>
                <w:szCs w:val="21"/>
              </w:rPr>
              <w:br w:type="textWrapping"/>
            </w:r>
            <w:r>
              <w:rPr>
                <w:rFonts w:hint="eastAsia" w:ascii="宋体" w:hAnsi="宋体" w:eastAsia="宋体" w:cs="宋体"/>
                <w:szCs w:val="21"/>
              </w:rPr>
              <w:t>10.外设连接:具备USB 2.0接口2，可用于连接U盘等外设。</w:t>
            </w:r>
            <w:r>
              <w:rPr>
                <w:rFonts w:hint="eastAsia" w:ascii="宋体" w:hAnsi="宋体" w:eastAsia="宋体" w:cs="宋体"/>
                <w:szCs w:val="21"/>
              </w:rPr>
              <w:br w:type="textWrapping"/>
            </w:r>
            <w:r>
              <w:rPr>
                <w:rFonts w:hint="eastAsia" w:ascii="宋体" w:hAnsi="宋体" w:eastAsia="宋体" w:cs="宋体"/>
                <w:szCs w:val="21"/>
              </w:rPr>
              <w:t>三.其他要求</w:t>
            </w:r>
            <w:r>
              <w:rPr>
                <w:rFonts w:hint="eastAsia" w:ascii="宋体" w:hAnsi="宋体" w:eastAsia="宋体" w:cs="宋体"/>
                <w:szCs w:val="21"/>
              </w:rPr>
              <w:br w:type="textWrapping"/>
            </w:r>
            <w:r>
              <w:rPr>
                <w:rFonts w:hint="eastAsia" w:ascii="宋体" w:hAnsi="宋体" w:eastAsia="宋体" w:cs="宋体"/>
                <w:szCs w:val="21"/>
              </w:rPr>
              <w:t>1.要求高清录播主机与教学视频资源管理系统、高清摄像机设备为同一品牌。</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台</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1" w:type="pct"/>
            <w:shd w:val="clear" w:color="auto" w:fill="auto"/>
            <w:vAlign w:val="center"/>
          </w:tcPr>
          <w:p>
            <w:pPr>
              <w:widowControl/>
              <w:spacing w:line="300" w:lineRule="auto"/>
              <w:jc w:val="center"/>
              <w:rPr>
                <w:rFonts w:ascii="宋体" w:hAnsi="宋体" w:eastAsia="宋体" w:cs="宋体"/>
                <w:b/>
                <w:bCs/>
                <w:color w:val="000000"/>
                <w:kern w:val="0"/>
                <w:szCs w:val="21"/>
              </w:rPr>
            </w:pPr>
            <w:r>
              <w:rPr>
                <w:rFonts w:hint="eastAsia" w:ascii="宋体" w:hAnsi="宋体" w:eastAsia="宋体" w:cs="宋体"/>
                <w:kern w:val="0"/>
                <w:szCs w:val="21"/>
              </w:rPr>
              <w:t>2</w:t>
            </w:r>
          </w:p>
        </w:tc>
        <w:tc>
          <w:tcPr>
            <w:tcW w:w="755" w:type="pct"/>
            <w:shd w:val="clear" w:color="auto" w:fill="auto"/>
            <w:vAlign w:val="center"/>
          </w:tcPr>
          <w:p>
            <w:pPr>
              <w:widowControl/>
              <w:spacing w:line="300" w:lineRule="auto"/>
              <w:jc w:val="center"/>
              <w:rPr>
                <w:rFonts w:ascii="宋体" w:hAnsi="宋体" w:eastAsia="宋体" w:cs="宋体"/>
                <w:b/>
                <w:color w:val="000000"/>
                <w:kern w:val="0"/>
                <w:szCs w:val="21"/>
              </w:rPr>
            </w:pPr>
            <w:r>
              <w:rPr>
                <w:rFonts w:hint="eastAsia" w:ascii="宋体" w:hAnsi="宋体" w:eastAsia="宋体" w:cs="宋体"/>
                <w:kern w:val="0"/>
                <w:szCs w:val="21"/>
              </w:rPr>
              <w:t xml:space="preserve">录播管理处理软件 </w:t>
            </w:r>
          </w:p>
        </w:tc>
        <w:tc>
          <w:tcPr>
            <w:tcW w:w="3052" w:type="pct"/>
            <w:shd w:val="clear" w:color="auto" w:fill="auto"/>
            <w:vAlign w:val="center"/>
          </w:tcPr>
          <w:p>
            <w:pPr>
              <w:widowControl/>
              <w:numPr>
                <w:ilvl w:val="0"/>
                <w:numId w:val="14"/>
              </w:numPr>
              <w:spacing w:line="300" w:lineRule="auto"/>
              <w:jc w:val="left"/>
              <w:rPr>
                <w:rFonts w:ascii="宋体" w:hAnsi="宋体" w:eastAsia="宋体" w:cs="宋体"/>
                <w:kern w:val="0"/>
                <w:szCs w:val="21"/>
              </w:rPr>
            </w:pPr>
            <w:r>
              <w:rPr>
                <w:rFonts w:hint="eastAsia" w:ascii="宋体" w:hAnsi="宋体" w:eastAsia="宋体" w:cs="宋体"/>
                <w:kern w:val="0"/>
                <w:szCs w:val="21"/>
              </w:rPr>
              <w:t>整体要求</w:t>
            </w:r>
            <w:r>
              <w:rPr>
                <w:rFonts w:hint="eastAsia" w:ascii="宋体" w:hAnsi="宋体" w:eastAsia="宋体" w:cs="宋体"/>
                <w:kern w:val="0"/>
                <w:szCs w:val="21"/>
              </w:rPr>
              <w:br w:type="textWrapping"/>
            </w:r>
            <w:r>
              <w:rPr>
                <w:rFonts w:hint="eastAsia" w:ascii="宋体" w:hAnsi="宋体" w:eastAsia="宋体" w:cs="宋体"/>
                <w:kern w:val="0"/>
                <w:szCs w:val="21"/>
              </w:rPr>
              <w:t>1.要求配套的录播流媒体处理软件在出厂时内置于高清录播主机中。</w:t>
            </w:r>
            <w:r>
              <w:rPr>
                <w:rFonts w:hint="eastAsia" w:ascii="宋体" w:hAnsi="宋体" w:eastAsia="宋体" w:cs="宋体"/>
                <w:kern w:val="0"/>
                <w:szCs w:val="21"/>
              </w:rPr>
              <w:br w:type="textWrapping"/>
            </w:r>
            <w:r>
              <w:rPr>
                <w:rFonts w:hint="eastAsia" w:ascii="宋体" w:hAnsi="宋体" w:eastAsia="宋体" w:cs="宋体"/>
                <w:kern w:val="0"/>
                <w:szCs w:val="21"/>
              </w:rPr>
              <w:t>2.软件架构:软件需采用B/S架构设计，使用主流浏览器通过网络即可访问软件后台进行管理应用。</w:t>
            </w:r>
            <w:r>
              <w:rPr>
                <w:rFonts w:hint="eastAsia" w:ascii="宋体" w:hAnsi="宋体" w:eastAsia="宋体" w:cs="宋体"/>
                <w:kern w:val="0"/>
                <w:szCs w:val="21"/>
              </w:rPr>
              <w:br w:type="textWrapping"/>
            </w:r>
            <w:r>
              <w:rPr>
                <w:rFonts w:hint="eastAsia" w:ascii="宋体" w:hAnsi="宋体" w:eastAsia="宋体" w:cs="宋体"/>
                <w:kern w:val="0"/>
                <w:szCs w:val="21"/>
              </w:rPr>
              <w:t>★3.自主知识产权:要求录播流媒体处理软件具备自主知识产权。</w:t>
            </w:r>
            <w:r>
              <w:rPr>
                <w:rFonts w:hint="eastAsia" w:ascii="宋体" w:hAnsi="宋体" w:eastAsia="宋体" w:cs="宋体"/>
                <w:kern w:val="0"/>
                <w:szCs w:val="21"/>
              </w:rPr>
              <w:br w:type="textWrapping"/>
            </w:r>
            <w:r>
              <w:rPr>
                <w:rFonts w:hint="eastAsia" w:ascii="宋体" w:hAnsi="宋体" w:eastAsia="宋体" w:cs="宋体"/>
                <w:kern w:val="0"/>
                <w:szCs w:val="21"/>
              </w:rPr>
              <w:t>二.录播模块</w:t>
            </w:r>
            <w:r>
              <w:rPr>
                <w:rFonts w:hint="eastAsia" w:ascii="宋体" w:hAnsi="宋体" w:eastAsia="宋体" w:cs="宋体"/>
                <w:kern w:val="0"/>
                <w:szCs w:val="21"/>
              </w:rPr>
              <w:br w:type="textWrapping"/>
            </w:r>
            <w:r>
              <w:rPr>
                <w:rFonts w:hint="eastAsia" w:ascii="宋体" w:hAnsi="宋体" w:eastAsia="宋体" w:cs="宋体"/>
                <w:kern w:val="0"/>
                <w:szCs w:val="21"/>
              </w:rPr>
              <w:t>1.录制存储:要求在断网情况下也可以对本地教室进行视频录制，并将录制文件保存在录播主机的内置硬盘中。并要求支持≥1080P高清分辨率录制，采用MP4视频格式封装。</w:t>
            </w:r>
            <w:r>
              <w:rPr>
                <w:rFonts w:hint="eastAsia" w:ascii="宋体" w:hAnsi="宋体" w:eastAsia="宋体" w:cs="宋体"/>
                <w:kern w:val="0"/>
                <w:szCs w:val="21"/>
              </w:rPr>
              <w:br w:type="textWrapping"/>
            </w:r>
            <w:r>
              <w:rPr>
                <w:rFonts w:hint="eastAsia" w:ascii="宋体" w:hAnsi="宋体" w:eastAsia="宋体" w:cs="宋体"/>
                <w:kern w:val="0"/>
                <w:szCs w:val="21"/>
              </w:rPr>
              <w:t>2.录制模式:支持电影模式、资源模式等录制模式。电影模式下实现多路信号的复合成一路画面进行录制；资源模式下要求摄像机画面、电脑画面均可独立录制封装。</w:t>
            </w:r>
            <w:r>
              <w:rPr>
                <w:rFonts w:hint="eastAsia" w:ascii="宋体" w:hAnsi="宋体" w:eastAsia="宋体" w:cs="宋体"/>
                <w:kern w:val="0"/>
                <w:szCs w:val="21"/>
              </w:rPr>
              <w:br w:type="textWrapping"/>
            </w:r>
            <w:r>
              <w:rPr>
                <w:rFonts w:hint="eastAsia" w:ascii="宋体" w:hAnsi="宋体" w:eastAsia="宋体" w:cs="宋体"/>
                <w:kern w:val="0"/>
                <w:szCs w:val="21"/>
              </w:rPr>
              <w:t>3.高低码流录制:要求支持高低双码流同步录制，并要求支持自定义录制分辨率、码流。</w:t>
            </w:r>
            <w:r>
              <w:rPr>
                <w:rFonts w:hint="eastAsia" w:ascii="宋体" w:hAnsi="宋体" w:eastAsia="宋体" w:cs="宋体"/>
                <w:kern w:val="0"/>
                <w:szCs w:val="21"/>
              </w:rPr>
              <w:br w:type="textWrapping"/>
            </w:r>
            <w:r>
              <w:rPr>
                <w:rFonts w:hint="eastAsia" w:ascii="宋体" w:hAnsi="宋体" w:eastAsia="宋体" w:cs="宋体"/>
                <w:kern w:val="0"/>
                <w:szCs w:val="21"/>
              </w:rPr>
              <w:t>★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提供软件分段录制功能配置界面截图。</w:t>
            </w:r>
            <w:r>
              <w:rPr>
                <w:rFonts w:hint="eastAsia" w:ascii="宋体" w:hAnsi="宋体" w:eastAsia="宋体" w:cs="宋体"/>
                <w:kern w:val="0"/>
                <w:szCs w:val="21"/>
              </w:rPr>
              <w:br w:type="textWrapping"/>
            </w:r>
            <w:r>
              <w:rPr>
                <w:rFonts w:hint="eastAsia" w:ascii="宋体" w:hAnsi="宋体" w:eastAsia="宋体" w:cs="宋体"/>
                <w:kern w:val="0"/>
                <w:szCs w:val="21"/>
              </w:rPr>
              <w:t>★5.同步录制:要求支持U盘等外设设备接入主机后，实现本机与U盘同步录制保存的功能。主机正常录制的同时，另存为一份文件保存到U盘中。要求提供软件同步录制功能配置界面截图。</w:t>
            </w:r>
            <w:r>
              <w:rPr>
                <w:rFonts w:hint="eastAsia" w:ascii="宋体" w:hAnsi="宋体" w:eastAsia="宋体" w:cs="宋体"/>
                <w:kern w:val="0"/>
                <w:szCs w:val="21"/>
              </w:rPr>
              <w:br w:type="textWrapping"/>
            </w:r>
            <w:r>
              <w:rPr>
                <w:rFonts w:hint="eastAsia" w:ascii="宋体" w:hAnsi="宋体" w:eastAsia="宋体" w:cs="宋体"/>
                <w:kern w:val="0"/>
                <w:szCs w:val="21"/>
              </w:rPr>
              <w:t>★6.云台控制:支持摄像机云台控制技术，实现对接入摄像机的画面进行云台控制，包括画面上下左右移动、放大缩小变焦等操作。云台控制功能应具有鼠标快速定位功能，通过鼠标点击快速居中画面区域。提供云台控制功能界面截图。</w:t>
            </w:r>
            <w:r>
              <w:rPr>
                <w:rFonts w:hint="eastAsia" w:ascii="宋体" w:hAnsi="宋体" w:eastAsia="宋体" w:cs="宋体"/>
                <w:kern w:val="0"/>
                <w:szCs w:val="21"/>
              </w:rPr>
              <w:br w:type="textWrapping"/>
            </w:r>
            <w:r>
              <w:rPr>
                <w:rFonts w:hint="eastAsia" w:ascii="宋体" w:hAnsi="宋体" w:eastAsia="宋体" w:cs="宋体"/>
                <w:kern w:val="0"/>
                <w:szCs w:val="21"/>
              </w:rPr>
              <w:t>7.录制跟踪:要求内置录制画面跟踪功能，支持搭配摄像机共同实现课堂教师、学生行为的全自动跟踪。跟踪模式需包括教师走动全景、教师授课特写、教学课件跟踪、学生起立特写、学生听课全景等。为保障系统使用、管理便捷稳定，不接受使用额外配置跟踪主机或其他跟踪设备的方式。</w:t>
            </w:r>
            <w:r>
              <w:rPr>
                <w:rFonts w:hint="eastAsia" w:ascii="宋体" w:hAnsi="宋体" w:eastAsia="宋体" w:cs="宋体"/>
                <w:kern w:val="0"/>
                <w:szCs w:val="21"/>
              </w:rPr>
              <w:br w:type="textWrapping"/>
            </w:r>
            <w:r>
              <w:rPr>
                <w:rFonts w:hint="eastAsia" w:ascii="宋体" w:hAnsi="宋体" w:eastAsia="宋体" w:cs="宋体"/>
                <w:kern w:val="0"/>
                <w:szCs w:val="21"/>
              </w:rPr>
              <w:t>★8.跟踪屏蔽:支持设置跟踪屏蔽区域，如主动屏蔽掉教师观摩区、窗户窗帘、教室门口、大屏液晶电视等易干扰跟踪效果的地方，所屏蔽的地方系统将不对其进行图像分析跟踪运算，以避免这些地方干扰整体的跟踪效果。</w:t>
            </w:r>
          </w:p>
          <w:p>
            <w:pPr>
              <w:widowControl/>
              <w:numPr>
                <w:ilvl w:val="0"/>
                <w:numId w:val="14"/>
              </w:numPr>
              <w:spacing w:line="300" w:lineRule="auto"/>
              <w:jc w:val="left"/>
              <w:rPr>
                <w:rFonts w:ascii="宋体" w:hAnsi="宋体" w:eastAsia="宋体" w:cs="宋体"/>
                <w:color w:val="000000"/>
                <w:kern w:val="0"/>
                <w:szCs w:val="21"/>
              </w:rPr>
            </w:pPr>
            <w:r>
              <w:rPr>
                <w:rFonts w:hint="eastAsia" w:ascii="宋体" w:hAnsi="宋体" w:eastAsia="宋体" w:cs="宋体"/>
                <w:kern w:val="0"/>
                <w:szCs w:val="21"/>
              </w:rPr>
              <w:t>9.录制控制:要求支持录制、暂停、结束等基本功能操作，并支持通过外接控制设备以及网页web登录控制等方式进行录制控制。</w:t>
            </w:r>
            <w:r>
              <w:rPr>
                <w:rFonts w:hint="eastAsia" w:ascii="宋体" w:hAnsi="宋体" w:eastAsia="宋体" w:cs="宋体"/>
                <w:kern w:val="0"/>
                <w:szCs w:val="21"/>
              </w:rPr>
              <w:br w:type="textWrapping"/>
            </w:r>
            <w:r>
              <w:rPr>
                <w:rFonts w:hint="eastAsia" w:ascii="宋体" w:hAnsi="宋体" w:eastAsia="宋体" w:cs="宋体"/>
                <w:kern w:val="0"/>
                <w:szCs w:val="21"/>
              </w:rPr>
              <w:t>10.音频处理:要求内置音频处理模块，支持EQ均衡、AEC回声抑制、AGC自动增益、ANC噪声抑制等音频处理功能。</w:t>
            </w:r>
            <w:r>
              <w:rPr>
                <w:rFonts w:hint="eastAsia" w:ascii="宋体" w:hAnsi="宋体" w:eastAsia="宋体" w:cs="宋体"/>
                <w:kern w:val="0"/>
                <w:szCs w:val="21"/>
              </w:rPr>
              <w:br w:type="textWrapping"/>
            </w:r>
            <w:r>
              <w:rPr>
                <w:rFonts w:hint="eastAsia" w:ascii="宋体" w:hAnsi="宋体" w:eastAsia="宋体" w:cs="宋体"/>
                <w:kern w:val="0"/>
                <w:szCs w:val="21"/>
              </w:rPr>
              <w:t>三.导播模块</w:t>
            </w:r>
            <w:r>
              <w:rPr>
                <w:rFonts w:hint="eastAsia" w:ascii="宋体" w:hAnsi="宋体" w:eastAsia="宋体" w:cs="宋体"/>
                <w:kern w:val="0"/>
                <w:szCs w:val="21"/>
              </w:rPr>
              <w:br w:type="textWrapping"/>
            </w:r>
            <w:r>
              <w:rPr>
                <w:rFonts w:hint="eastAsia" w:ascii="宋体" w:hAnsi="宋体" w:eastAsia="宋体" w:cs="宋体"/>
                <w:kern w:val="0"/>
                <w:szCs w:val="21"/>
              </w:rPr>
              <w:t>★1.本地导播:要求支持连接外接导播台进行控制导播，实现本地导播控制。</w:t>
            </w:r>
            <w:r>
              <w:rPr>
                <w:rFonts w:hint="eastAsia" w:ascii="宋体" w:hAnsi="宋体" w:eastAsia="宋体" w:cs="宋体"/>
                <w:kern w:val="0"/>
                <w:szCs w:val="21"/>
              </w:rPr>
              <w:br w:type="textWrapping"/>
            </w:r>
            <w:r>
              <w:rPr>
                <w:rFonts w:hint="eastAsia" w:ascii="宋体" w:hAnsi="宋体" w:eastAsia="宋体" w:cs="宋体"/>
                <w:kern w:val="0"/>
                <w:szCs w:val="21"/>
              </w:rPr>
              <w:t>2.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提供对应功能界面截图。</w:t>
            </w:r>
            <w:r>
              <w:rPr>
                <w:rFonts w:hint="eastAsia" w:ascii="宋体" w:hAnsi="宋体" w:eastAsia="宋体" w:cs="宋体"/>
                <w:kern w:val="0"/>
                <w:szCs w:val="21"/>
              </w:rPr>
              <w:br w:type="textWrapping"/>
            </w:r>
            <w:r>
              <w:rPr>
                <w:rFonts w:hint="eastAsia" w:ascii="宋体" w:hAnsi="宋体" w:eastAsia="宋体" w:cs="宋体"/>
                <w:kern w:val="0"/>
                <w:szCs w:val="21"/>
              </w:rPr>
              <w:t>3.导播模式:支持全自动、半自动、手动三种导播模式，并支持录制过程中任意切换导播模式。</w:t>
            </w:r>
            <w:r>
              <w:rPr>
                <w:rFonts w:hint="eastAsia" w:ascii="宋体" w:hAnsi="宋体" w:eastAsia="宋体" w:cs="宋体"/>
                <w:kern w:val="0"/>
                <w:szCs w:val="21"/>
              </w:rPr>
              <w:br w:type="textWrapping"/>
            </w:r>
            <w:r>
              <w:rPr>
                <w:rFonts w:hint="eastAsia" w:ascii="宋体" w:hAnsi="宋体" w:eastAsia="宋体" w:cs="宋体"/>
                <w:kern w:val="0"/>
                <w:szCs w:val="21"/>
              </w:rPr>
              <w:t>4.导播预览:要求导播界面可实现接入画面的导播预览，预览画面需包括教师特写、教师全景、学生全景、学生特写、电脑画面等。并支持点击预览画面可自由切换录制画面进行录制。</w:t>
            </w:r>
            <w:r>
              <w:rPr>
                <w:rFonts w:hint="eastAsia" w:ascii="宋体" w:hAnsi="宋体" w:eastAsia="宋体" w:cs="宋体"/>
                <w:kern w:val="0"/>
                <w:szCs w:val="21"/>
              </w:rPr>
              <w:br w:type="textWrapping"/>
            </w:r>
            <w:r>
              <w:rPr>
                <w:rFonts w:hint="eastAsia" w:ascii="宋体" w:hAnsi="宋体" w:eastAsia="宋体" w:cs="宋体"/>
                <w:kern w:val="0"/>
                <w:szCs w:val="21"/>
              </w:rPr>
              <w:t>5.画面布局:提供双分屏、三分屏、画中画等录制布局，并支持自定义布局方式，支持多个视频图层自由叠加组合，自定义布局时可随意拖拉画面窗口。</w:t>
            </w:r>
            <w:r>
              <w:rPr>
                <w:rFonts w:hint="eastAsia" w:ascii="宋体" w:hAnsi="宋体" w:eastAsia="宋体" w:cs="宋体"/>
                <w:kern w:val="0"/>
                <w:szCs w:val="21"/>
              </w:rPr>
              <w:br w:type="textWrapping"/>
            </w:r>
            <w:r>
              <w:rPr>
                <w:rFonts w:hint="eastAsia" w:ascii="宋体" w:hAnsi="宋体" w:eastAsia="宋体" w:cs="宋体"/>
                <w:kern w:val="0"/>
                <w:szCs w:val="21"/>
              </w:rPr>
              <w:t>6.导播跟踪:要求支持自动、半自动、手动三种导播模式。</w:t>
            </w:r>
            <w:r>
              <w:rPr>
                <w:rFonts w:hint="eastAsia" w:ascii="宋体" w:hAnsi="宋体" w:eastAsia="宋体" w:cs="宋体"/>
                <w:kern w:val="0"/>
                <w:szCs w:val="21"/>
              </w:rPr>
              <w:br w:type="textWrapping"/>
            </w:r>
            <w:r>
              <w:rPr>
                <w:rFonts w:hint="eastAsia" w:ascii="宋体" w:hAnsi="宋体" w:eastAsia="宋体" w:cs="宋体"/>
                <w:kern w:val="0"/>
                <w:szCs w:val="21"/>
              </w:rPr>
              <w:t>7.摄像机预置位:要求支持≥8个摄像机云台预制位设置，导播过程中可便捷调取摄像机预设位置的画面。</w:t>
            </w:r>
            <w:r>
              <w:rPr>
                <w:rFonts w:hint="eastAsia" w:ascii="宋体" w:hAnsi="宋体" w:eastAsia="宋体" w:cs="宋体"/>
                <w:kern w:val="0"/>
                <w:szCs w:val="21"/>
              </w:rPr>
              <w:br w:type="textWrapping"/>
            </w:r>
            <w:r>
              <w:rPr>
                <w:rFonts w:hint="eastAsia" w:ascii="宋体" w:hAnsi="宋体" w:eastAsia="宋体" w:cs="宋体"/>
                <w:kern w:val="0"/>
                <w:szCs w:val="21"/>
              </w:rPr>
              <w:t>8.字幕台标:要求录制模式下支持Logo台标、字幕设置，可自主上传Logo图标、编辑字幕内容。</w:t>
            </w:r>
            <w:r>
              <w:rPr>
                <w:rFonts w:hint="eastAsia" w:ascii="宋体" w:hAnsi="宋体" w:eastAsia="宋体" w:cs="宋体"/>
                <w:kern w:val="0"/>
                <w:szCs w:val="21"/>
              </w:rPr>
              <w:br w:type="textWrapping"/>
            </w:r>
            <w:r>
              <w:rPr>
                <w:rFonts w:hint="eastAsia" w:ascii="宋体" w:hAnsi="宋体" w:eastAsia="宋体" w:cs="宋体"/>
                <w:kern w:val="0"/>
                <w:szCs w:val="21"/>
              </w:rPr>
              <w:t>9可以.音量控制:要求可通过导播界面进行音量控制，调整相关输入输出音量大小。</w:t>
            </w:r>
            <w:r>
              <w:rPr>
                <w:rFonts w:hint="eastAsia" w:ascii="宋体" w:hAnsi="宋体" w:eastAsia="宋体" w:cs="宋体"/>
                <w:kern w:val="0"/>
                <w:szCs w:val="21"/>
              </w:rPr>
              <w:br w:type="textWrapping"/>
            </w:r>
            <w:r>
              <w:rPr>
                <w:rFonts w:hint="eastAsia" w:ascii="宋体" w:hAnsi="宋体" w:eastAsia="宋体" w:cs="宋体"/>
                <w:kern w:val="0"/>
                <w:szCs w:val="21"/>
              </w:rPr>
              <w:t>四.直播模块</w:t>
            </w:r>
            <w:r>
              <w:rPr>
                <w:rFonts w:hint="eastAsia" w:ascii="宋体" w:hAnsi="宋体" w:eastAsia="宋体" w:cs="宋体"/>
                <w:kern w:val="0"/>
                <w:szCs w:val="21"/>
              </w:rPr>
              <w:br w:type="textWrapping"/>
            </w:r>
            <w:r>
              <w:rPr>
                <w:rFonts w:hint="eastAsia" w:ascii="宋体" w:hAnsi="宋体" w:eastAsia="宋体" w:cs="宋体"/>
                <w:kern w:val="0"/>
                <w:szCs w:val="21"/>
              </w:rPr>
              <w:t>★1.多流直播:要求支持RTMP和RTSP视频传输协议，并要求支持≥3路RTMP同步推流直播，并要求自定义选择主码流或子码流信号源进行推流，实现多流直播。提供软件功能界面截图。</w:t>
            </w:r>
            <w:r>
              <w:rPr>
                <w:rFonts w:hint="eastAsia" w:ascii="宋体" w:hAnsi="宋体" w:eastAsia="宋体" w:cs="宋体"/>
                <w:kern w:val="0"/>
                <w:szCs w:val="21"/>
              </w:rPr>
              <w:br w:type="textWrapping"/>
            </w:r>
            <w:r>
              <w:rPr>
                <w:rFonts w:hint="eastAsia" w:ascii="宋体" w:hAnsi="宋体" w:eastAsia="宋体" w:cs="宋体"/>
                <w:kern w:val="0"/>
                <w:szCs w:val="21"/>
              </w:rPr>
              <w:t>2.直播码流:支持自定义直播分辨率和码率，最高支持≥1080P@30fps，以适应不同网络环境下保持直播的流畅性。</w:t>
            </w:r>
            <w:r>
              <w:rPr>
                <w:rFonts w:hint="eastAsia" w:ascii="宋体" w:hAnsi="宋体" w:eastAsia="宋体" w:cs="宋体"/>
                <w:kern w:val="0"/>
                <w:szCs w:val="21"/>
              </w:rPr>
              <w:br w:type="textWrapping"/>
            </w:r>
            <w:r>
              <w:rPr>
                <w:rFonts w:hint="eastAsia" w:ascii="宋体" w:hAnsi="宋体" w:eastAsia="宋体" w:cs="宋体"/>
                <w:kern w:val="0"/>
                <w:szCs w:val="21"/>
              </w:rPr>
              <w:t>3.直播模式:要求支持RTMP直播、TS直播、集控推流直播等≥3种不同直播模式，以适应不同场景直播需求。</w:t>
            </w:r>
            <w:r>
              <w:rPr>
                <w:rFonts w:hint="eastAsia" w:ascii="宋体" w:hAnsi="宋体" w:eastAsia="宋体" w:cs="宋体"/>
                <w:kern w:val="0"/>
                <w:szCs w:val="21"/>
              </w:rPr>
              <w:br w:type="textWrapping"/>
            </w:r>
            <w:r>
              <w:rPr>
                <w:rFonts w:hint="eastAsia" w:ascii="宋体" w:hAnsi="宋体" w:eastAsia="宋体" w:cs="宋体"/>
                <w:kern w:val="0"/>
                <w:szCs w:val="21"/>
              </w:rPr>
              <w:t>五.管理模块</w:t>
            </w:r>
            <w:r>
              <w:rPr>
                <w:rFonts w:hint="eastAsia" w:ascii="宋体" w:hAnsi="宋体" w:eastAsia="宋体" w:cs="宋体"/>
                <w:kern w:val="0"/>
                <w:szCs w:val="21"/>
              </w:rPr>
              <w:br w:type="textWrapping"/>
            </w:r>
            <w:r>
              <w:rPr>
                <w:rFonts w:hint="eastAsia" w:ascii="宋体" w:hAnsi="宋体" w:eastAsia="宋体" w:cs="宋体"/>
                <w:kern w:val="0"/>
                <w:szCs w:val="21"/>
              </w:rPr>
              <w:t>1.录像管理:支持对录制视频按标题、主持人、时间、时长进行排序，便于快速检索所需视频。支持对录像文件进行回放和下载。</w:t>
            </w:r>
            <w:r>
              <w:rPr>
                <w:rFonts w:hint="eastAsia" w:ascii="宋体" w:hAnsi="宋体" w:eastAsia="宋体" w:cs="宋体"/>
                <w:kern w:val="0"/>
                <w:szCs w:val="21"/>
              </w:rPr>
              <w:br w:type="textWrapping"/>
            </w:r>
            <w:r>
              <w:rPr>
                <w:rFonts w:hint="eastAsia" w:ascii="宋体" w:hAnsi="宋体" w:eastAsia="宋体" w:cs="宋体"/>
                <w:kern w:val="0"/>
                <w:szCs w:val="21"/>
              </w:rPr>
              <w:t>2.视频修复:支持硬盘格式化功能，支持对设备异常断电、宕机造成的损坏视频文件进行修复。</w:t>
            </w:r>
            <w:r>
              <w:rPr>
                <w:rFonts w:hint="eastAsia" w:ascii="宋体" w:hAnsi="宋体" w:eastAsia="宋体" w:cs="宋体"/>
                <w:kern w:val="0"/>
                <w:szCs w:val="21"/>
              </w:rPr>
              <w:br w:type="textWrapping"/>
            </w:r>
            <w:r>
              <w:rPr>
                <w:rFonts w:hint="eastAsia" w:ascii="宋体" w:hAnsi="宋体" w:eastAsia="宋体" w:cs="宋体"/>
                <w:kern w:val="0"/>
                <w:szCs w:val="21"/>
              </w:rPr>
              <w:t>3.版本切换:支持中英双语版本切换，适合不同用户的应用需求。要求通过网络导播界面即可便捷切换，无需进行更改授权、系统升级等复杂操作。</w:t>
            </w:r>
            <w:r>
              <w:rPr>
                <w:rFonts w:hint="eastAsia" w:ascii="宋体" w:hAnsi="宋体" w:eastAsia="宋体" w:cs="宋体"/>
                <w:kern w:val="0"/>
                <w:szCs w:val="21"/>
              </w:rPr>
              <w:br w:type="textWrapping"/>
            </w:r>
            <w:r>
              <w:rPr>
                <w:rFonts w:hint="eastAsia" w:ascii="宋体" w:hAnsi="宋体" w:eastAsia="宋体" w:cs="宋体"/>
                <w:kern w:val="0"/>
                <w:szCs w:val="21"/>
              </w:rPr>
              <w:t>4.面板管控:支持接入控制面板，对录播设备进行唤醒、录制管理。</w:t>
            </w:r>
          </w:p>
        </w:tc>
        <w:tc>
          <w:tcPr>
            <w:tcW w:w="374"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套</w:t>
            </w:r>
          </w:p>
        </w:tc>
        <w:tc>
          <w:tcPr>
            <w:tcW w:w="445" w:type="pct"/>
            <w:shd w:val="clear" w:color="auto" w:fill="auto"/>
            <w:vAlign w:val="center"/>
          </w:tcPr>
          <w:p>
            <w:pPr>
              <w:widowControl/>
              <w:spacing w:line="300" w:lineRule="auto"/>
              <w:jc w:val="center"/>
              <w:rPr>
                <w:rFonts w:ascii="宋体" w:hAnsi="宋体" w:eastAsia="宋体" w:cs="宋体"/>
                <w:color w:val="000000"/>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AI智能跟踪处理软件</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1.摄像机跟踪逻辑分配:支持智能识别接入摄像机的使用定位，并联动摄像机选用对应的跟踪逻辑，如教师跟踪、学生跟踪等。</w:t>
            </w:r>
            <w:r>
              <w:rPr>
                <w:rFonts w:hint="eastAsia" w:ascii="宋体" w:hAnsi="宋体" w:eastAsia="宋体" w:cs="宋体"/>
                <w:kern w:val="0"/>
                <w:szCs w:val="21"/>
              </w:rPr>
              <w:br w:type="textWrapping"/>
            </w:r>
            <w:r>
              <w:rPr>
                <w:rFonts w:hint="eastAsia" w:ascii="宋体" w:hAnsi="宋体" w:eastAsia="宋体" w:cs="宋体"/>
                <w:kern w:val="0"/>
                <w:szCs w:val="21"/>
              </w:rPr>
              <w:t>2.云台控制:支持对接入摄像机进行云台控制技术，实现画面的上下左右移动、放大缩小变焦等操作。</w:t>
            </w:r>
            <w:r>
              <w:rPr>
                <w:rFonts w:hint="eastAsia" w:ascii="宋体" w:hAnsi="宋体" w:eastAsia="宋体" w:cs="宋体"/>
                <w:kern w:val="0"/>
                <w:szCs w:val="21"/>
              </w:rPr>
              <w:br w:type="textWrapping"/>
            </w:r>
            <w:r>
              <w:rPr>
                <w:rFonts w:hint="eastAsia" w:ascii="宋体" w:hAnsi="宋体" w:eastAsia="宋体" w:cs="宋体"/>
                <w:kern w:val="0"/>
                <w:szCs w:val="21"/>
              </w:rPr>
              <w:t>3.检测区域设置:支持对接入摄像机的AI跟踪检测区域设置，可根据实景拍摄画面中框选跟踪区域，框选后只在区域中方能触发跟踪，所见所得方便操作。</w:t>
            </w:r>
            <w:r>
              <w:rPr>
                <w:rFonts w:hint="eastAsia" w:ascii="宋体" w:hAnsi="宋体" w:eastAsia="宋体" w:cs="宋体"/>
                <w:kern w:val="0"/>
                <w:szCs w:val="21"/>
              </w:rPr>
              <w:br w:type="textWrapping"/>
            </w:r>
            <w:r>
              <w:rPr>
                <w:rFonts w:hint="eastAsia" w:ascii="宋体" w:hAnsi="宋体" w:eastAsia="宋体" w:cs="宋体"/>
                <w:kern w:val="0"/>
                <w:szCs w:val="21"/>
              </w:rPr>
              <w:t>4.录制跟踪切换:根据设定的跟踪策略形成跟踪指令，实现多路接入摄像机的全自动AI跟踪画面切换。</w:t>
            </w:r>
            <w:r>
              <w:rPr>
                <w:rFonts w:hint="eastAsia" w:ascii="宋体" w:hAnsi="宋体" w:eastAsia="宋体" w:cs="宋体"/>
                <w:kern w:val="0"/>
                <w:szCs w:val="21"/>
              </w:rPr>
              <w:br w:type="textWrapping"/>
            </w:r>
            <w:r>
              <w:rPr>
                <w:rFonts w:hint="eastAsia" w:ascii="宋体" w:hAnsi="宋体" w:eastAsia="宋体" w:cs="宋体"/>
                <w:kern w:val="0"/>
                <w:szCs w:val="21"/>
              </w:rPr>
              <w:t>5.AI跟踪目标丢失处理机制:支持对接入摄像机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r>
              <w:rPr>
                <w:rFonts w:hint="eastAsia" w:ascii="宋体" w:hAnsi="宋体" w:eastAsia="宋体" w:cs="宋体"/>
                <w:kern w:val="0"/>
                <w:szCs w:val="21"/>
              </w:rPr>
              <w:br w:type="textWrapping"/>
            </w:r>
            <w:r>
              <w:rPr>
                <w:rFonts w:hint="eastAsia" w:ascii="宋体" w:hAnsi="宋体" w:eastAsia="宋体" w:cs="宋体"/>
                <w:kern w:val="0"/>
                <w:szCs w:val="21"/>
              </w:rPr>
              <w:t>★6.跟踪屏蔽:支持设置跟踪屏蔽区域，如主动屏蔽掉教师观摩区、窗户窗帘、教室门口、大屏液晶电视等易干扰跟踪效果的地方，所屏蔽的地方系统将不对其进行AI分析跟踪运算，以避免这些地方干扰整体的跟踪效果。</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4</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数字音频处理器</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1.≥48K采样率，高速DSP处理芯片。</w:t>
            </w:r>
            <w:r>
              <w:rPr>
                <w:rFonts w:hint="eastAsia" w:ascii="宋体" w:hAnsi="宋体" w:eastAsia="宋体" w:cs="宋体"/>
                <w:kern w:val="0"/>
                <w:szCs w:val="21"/>
              </w:rPr>
              <w:br w:type="textWrapping"/>
            </w:r>
            <w:r>
              <w:rPr>
                <w:rFonts w:hint="eastAsia" w:ascii="宋体" w:hAnsi="宋体" w:eastAsia="宋体" w:cs="宋体"/>
                <w:kern w:val="0"/>
                <w:szCs w:val="21"/>
              </w:rPr>
              <w:t>2.内置功放功能，支持直接对接无源扬声器进行扩音，无需额外另配功放设备。</w:t>
            </w:r>
            <w:r>
              <w:rPr>
                <w:rFonts w:hint="eastAsia" w:ascii="宋体" w:hAnsi="宋体" w:eastAsia="宋体" w:cs="宋体"/>
                <w:kern w:val="0"/>
                <w:szCs w:val="21"/>
              </w:rPr>
              <w:br w:type="textWrapping"/>
            </w:r>
            <w:r>
              <w:rPr>
                <w:rFonts w:hint="eastAsia" w:ascii="宋体" w:hAnsi="宋体" w:eastAsia="宋体" w:cs="宋体"/>
                <w:kern w:val="0"/>
                <w:szCs w:val="21"/>
              </w:rPr>
              <w:t>3.支持≥4路模拟输入+1路立体声输入+2路无线输入；支持≥4路模拟输出+2路功放输出的音频信号处理。</w:t>
            </w:r>
            <w:r>
              <w:rPr>
                <w:rFonts w:hint="eastAsia" w:ascii="宋体" w:hAnsi="宋体" w:eastAsia="宋体" w:cs="宋体"/>
                <w:kern w:val="0"/>
                <w:szCs w:val="21"/>
              </w:rPr>
              <w:br w:type="textWrapping"/>
            </w:r>
            <w:r>
              <w:rPr>
                <w:rFonts w:hint="eastAsia" w:ascii="宋体" w:hAnsi="宋体" w:eastAsia="宋体" w:cs="宋体"/>
                <w:kern w:val="0"/>
                <w:szCs w:val="21"/>
              </w:rPr>
              <w:t>4.频率响应:20-20KHz。</w:t>
            </w:r>
            <w:r>
              <w:rPr>
                <w:rFonts w:hint="eastAsia" w:ascii="宋体" w:hAnsi="宋体" w:eastAsia="宋体" w:cs="宋体"/>
                <w:kern w:val="0"/>
                <w:szCs w:val="21"/>
              </w:rPr>
              <w:br w:type="textWrapping"/>
            </w:r>
            <w:r>
              <w:rPr>
                <w:rFonts w:hint="eastAsia" w:ascii="宋体" w:hAnsi="宋体" w:eastAsia="宋体" w:cs="宋体"/>
                <w:kern w:val="0"/>
                <w:szCs w:val="21"/>
              </w:rPr>
              <w:t>5.THD+N:0.003 。</w:t>
            </w:r>
            <w:r>
              <w:rPr>
                <w:rFonts w:hint="eastAsia" w:ascii="宋体" w:hAnsi="宋体" w:eastAsia="宋体" w:cs="宋体"/>
                <w:kern w:val="0"/>
                <w:szCs w:val="21"/>
              </w:rPr>
              <w:br w:type="textWrapping"/>
            </w:r>
            <w:r>
              <w:rPr>
                <w:rFonts w:hint="eastAsia" w:ascii="宋体" w:hAnsi="宋体" w:eastAsia="宋体" w:cs="宋体"/>
                <w:kern w:val="0"/>
                <w:szCs w:val="21"/>
              </w:rPr>
              <w:t>6.动态范围:≥100dB。</w:t>
            </w:r>
            <w:r>
              <w:rPr>
                <w:rFonts w:hint="eastAsia" w:ascii="宋体" w:hAnsi="宋体" w:eastAsia="宋体" w:cs="宋体"/>
                <w:kern w:val="0"/>
                <w:szCs w:val="21"/>
              </w:rPr>
              <w:br w:type="textWrapping"/>
            </w:r>
            <w:r>
              <w:rPr>
                <w:rFonts w:hint="eastAsia" w:ascii="宋体" w:hAnsi="宋体" w:eastAsia="宋体" w:cs="宋体"/>
                <w:kern w:val="0"/>
                <w:szCs w:val="21"/>
              </w:rPr>
              <w:t>7.幻象供电:支持每路独立48V幻象供电。</w:t>
            </w:r>
            <w:r>
              <w:rPr>
                <w:rFonts w:hint="eastAsia" w:ascii="宋体" w:hAnsi="宋体" w:eastAsia="宋体" w:cs="宋体"/>
                <w:kern w:val="0"/>
                <w:szCs w:val="21"/>
              </w:rPr>
              <w:br w:type="textWrapping"/>
            </w:r>
            <w:r>
              <w:rPr>
                <w:rFonts w:hint="eastAsia" w:ascii="宋体" w:hAnsi="宋体" w:eastAsia="宋体" w:cs="宋体"/>
                <w:kern w:val="0"/>
                <w:szCs w:val="21"/>
              </w:rPr>
              <w:t>8.音频处理:支持DSP音频处理功能，包含反馈消除、回声消除、噪声消除等。</w:t>
            </w:r>
            <w:r>
              <w:rPr>
                <w:rFonts w:hint="eastAsia" w:ascii="宋体" w:hAnsi="宋体" w:eastAsia="宋体" w:cs="宋体"/>
                <w:kern w:val="0"/>
                <w:szCs w:val="21"/>
              </w:rPr>
              <w:br w:type="textWrapping"/>
            </w:r>
            <w:r>
              <w:rPr>
                <w:rFonts w:hint="eastAsia" w:ascii="宋体" w:hAnsi="宋体" w:eastAsia="宋体" w:cs="宋体"/>
                <w:kern w:val="0"/>
                <w:szCs w:val="21"/>
              </w:rPr>
              <w:t>9.支持全功能矩阵混音功能。</w:t>
            </w:r>
            <w:r>
              <w:rPr>
                <w:rFonts w:hint="eastAsia" w:ascii="宋体" w:hAnsi="宋体" w:eastAsia="宋体" w:cs="宋体"/>
                <w:kern w:val="0"/>
                <w:szCs w:val="21"/>
              </w:rPr>
              <w:br w:type="textWrapping"/>
            </w:r>
            <w:r>
              <w:rPr>
                <w:rFonts w:hint="eastAsia" w:ascii="宋体" w:hAnsi="宋体" w:eastAsia="宋体" w:cs="宋体"/>
                <w:kern w:val="0"/>
                <w:szCs w:val="21"/>
              </w:rPr>
              <w:t>10.支持场景预设功能，可通过场景预设切换相应配置。</w:t>
            </w:r>
            <w:r>
              <w:rPr>
                <w:rFonts w:hint="eastAsia" w:ascii="宋体" w:hAnsi="宋体" w:eastAsia="宋体" w:cs="宋体"/>
                <w:kern w:val="0"/>
                <w:szCs w:val="21"/>
              </w:rPr>
              <w:br w:type="textWrapping"/>
            </w:r>
            <w:r>
              <w:rPr>
                <w:rFonts w:hint="eastAsia" w:ascii="宋体" w:hAnsi="宋体" w:eastAsia="宋体" w:cs="宋体"/>
                <w:kern w:val="0"/>
                <w:szCs w:val="21"/>
              </w:rPr>
              <w:t>11.USB背景音乐播放与录制功能，支持通过USB接口自动读取并选择播放U盘中的MP3、WAV等格式的音频文件。</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 xml:space="preserve">数字音频处理软件 </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1.采用C/S或B/S软件架构设计，支持对音频处理矩阵进行管理。</w:t>
            </w:r>
            <w:r>
              <w:rPr>
                <w:rFonts w:hint="eastAsia" w:ascii="宋体" w:hAnsi="宋体" w:eastAsia="宋体" w:cs="宋体"/>
                <w:kern w:val="0"/>
                <w:szCs w:val="21"/>
              </w:rPr>
              <w:br w:type="textWrapping"/>
            </w:r>
            <w:r>
              <w:rPr>
                <w:rFonts w:hint="eastAsia" w:ascii="宋体" w:hAnsi="宋体" w:eastAsia="宋体" w:cs="宋体"/>
                <w:kern w:val="0"/>
                <w:szCs w:val="21"/>
              </w:rPr>
              <w:t xml:space="preserve">2.直观、图形化软件控制界面。 </w:t>
            </w:r>
            <w:r>
              <w:rPr>
                <w:rFonts w:hint="eastAsia" w:ascii="宋体" w:hAnsi="宋体" w:eastAsia="宋体" w:cs="宋体"/>
                <w:kern w:val="0"/>
                <w:szCs w:val="21"/>
              </w:rPr>
              <w:br w:type="textWrapping"/>
            </w:r>
            <w:r>
              <w:rPr>
                <w:rFonts w:hint="eastAsia" w:ascii="宋体" w:hAnsi="宋体" w:eastAsia="宋体" w:cs="宋体"/>
                <w:kern w:val="0"/>
                <w:szCs w:val="21"/>
              </w:rPr>
              <w:t>3.信道管理:提供输入输出信道的快捷控制方式，每个通道的处理器都可以快速直通和启用，选中不同的信道，会自动切换信道信息；</w:t>
            </w:r>
            <w:r>
              <w:rPr>
                <w:rFonts w:hint="eastAsia" w:ascii="宋体" w:hAnsi="宋体" w:eastAsia="宋体" w:cs="宋体"/>
                <w:kern w:val="0"/>
                <w:szCs w:val="21"/>
              </w:rPr>
              <w:br w:type="textWrapping"/>
            </w:r>
            <w:r>
              <w:rPr>
                <w:rFonts w:hint="eastAsia" w:ascii="宋体" w:hAnsi="宋体" w:eastAsia="宋体" w:cs="宋体"/>
                <w:kern w:val="0"/>
                <w:szCs w:val="21"/>
              </w:rPr>
              <w:t>4.扩展器管理:支持通过扩展器调整输入的动态范围；</w:t>
            </w:r>
            <w:r>
              <w:rPr>
                <w:rFonts w:hint="eastAsia" w:ascii="宋体" w:hAnsi="宋体" w:eastAsia="宋体" w:cs="宋体"/>
                <w:kern w:val="0"/>
                <w:szCs w:val="21"/>
              </w:rPr>
              <w:br w:type="textWrapping"/>
            </w:r>
            <w:r>
              <w:rPr>
                <w:rFonts w:hint="eastAsia" w:ascii="宋体" w:hAnsi="宋体" w:eastAsia="宋体" w:cs="宋体"/>
                <w:kern w:val="0"/>
                <w:szCs w:val="21"/>
              </w:rPr>
              <w:t>5.自动增益:支持通过改变输入输出压缩比例来自动控制增益的幅度，自动提升和压缩话筒音量，使之以恒定的电平输出；</w:t>
            </w:r>
            <w:r>
              <w:rPr>
                <w:rFonts w:hint="eastAsia" w:ascii="宋体" w:hAnsi="宋体" w:eastAsia="宋体" w:cs="宋体"/>
                <w:kern w:val="0"/>
                <w:szCs w:val="21"/>
              </w:rPr>
              <w:br w:type="textWrapping"/>
            </w:r>
            <w:r>
              <w:rPr>
                <w:rFonts w:hint="eastAsia" w:ascii="宋体" w:hAnsi="宋体" w:eastAsia="宋体" w:cs="宋体"/>
                <w:kern w:val="0"/>
                <w:szCs w:val="21"/>
              </w:rPr>
              <w:t>6.压缩器管理:支持通过压缩器减少信号高于用户确定的阈值的动态范围，信号电平低于阈值保持不变；</w:t>
            </w:r>
            <w:r>
              <w:rPr>
                <w:rFonts w:hint="eastAsia" w:ascii="宋体" w:hAnsi="宋体" w:eastAsia="宋体" w:cs="宋体"/>
                <w:kern w:val="0"/>
                <w:szCs w:val="21"/>
              </w:rPr>
              <w:br w:type="textWrapping"/>
            </w:r>
            <w:r>
              <w:rPr>
                <w:rFonts w:hint="eastAsia" w:ascii="宋体" w:hAnsi="宋体" w:eastAsia="宋体" w:cs="宋体"/>
                <w:kern w:val="0"/>
                <w:szCs w:val="21"/>
              </w:rPr>
              <w:t>7.均衡器管理:≥31段频点可单独调节增益，从而达到加强、削弱某些频点的目的，实现不同效果。</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高清AI摄像机</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1.传感器:要求采用CMOS类型图像传感器，尺寸1/2.5英寸。</w:t>
            </w:r>
            <w:r>
              <w:rPr>
                <w:rFonts w:hint="eastAsia" w:ascii="宋体" w:hAnsi="宋体" w:eastAsia="宋体" w:cs="宋体"/>
                <w:kern w:val="0"/>
                <w:szCs w:val="21"/>
              </w:rPr>
              <w:br w:type="textWrapping"/>
            </w:r>
            <w:r>
              <w:rPr>
                <w:rFonts w:hint="eastAsia" w:ascii="宋体" w:hAnsi="宋体" w:eastAsia="宋体" w:cs="宋体"/>
                <w:kern w:val="0"/>
                <w:szCs w:val="21"/>
              </w:rPr>
              <w:t>2.像素:有效像素≥207万。</w:t>
            </w:r>
            <w:r>
              <w:rPr>
                <w:rFonts w:hint="eastAsia" w:ascii="宋体" w:hAnsi="宋体" w:eastAsia="宋体" w:cs="宋体"/>
                <w:kern w:val="0"/>
                <w:szCs w:val="21"/>
              </w:rPr>
              <w:br w:type="textWrapping"/>
            </w:r>
            <w:r>
              <w:rPr>
                <w:rFonts w:hint="eastAsia" w:ascii="宋体" w:hAnsi="宋体" w:eastAsia="宋体" w:cs="宋体"/>
                <w:kern w:val="0"/>
                <w:szCs w:val="21"/>
              </w:rPr>
              <w:t>3.变焦:要求支持自动和手动变焦，变焦倍数≥12倍。</w:t>
            </w:r>
            <w:r>
              <w:rPr>
                <w:rFonts w:hint="eastAsia" w:ascii="宋体" w:hAnsi="宋体" w:eastAsia="宋体" w:cs="宋体"/>
                <w:kern w:val="0"/>
                <w:szCs w:val="21"/>
              </w:rPr>
              <w:br w:type="textWrapping"/>
            </w:r>
            <w:r>
              <w:rPr>
                <w:rFonts w:hint="eastAsia" w:ascii="宋体" w:hAnsi="宋体" w:eastAsia="宋体" w:cs="宋体"/>
                <w:kern w:val="0"/>
                <w:szCs w:val="21"/>
              </w:rPr>
              <w:t>4.云台转动:要求具备机械云台可进行转动跟踪。水平转动速度范围≥1.0° ~ 94.2°/s，垂直转动速度范围≥1.0°~ 74.8°/s。</w:t>
            </w:r>
            <w:r>
              <w:rPr>
                <w:rFonts w:hint="eastAsia" w:ascii="宋体" w:hAnsi="宋体" w:eastAsia="宋体" w:cs="宋体"/>
                <w:kern w:val="0"/>
                <w:szCs w:val="21"/>
              </w:rPr>
              <w:br w:type="textWrapping"/>
            </w:r>
            <w:r>
              <w:rPr>
                <w:rFonts w:hint="eastAsia" w:ascii="宋体" w:hAnsi="宋体" w:eastAsia="宋体" w:cs="宋体"/>
                <w:kern w:val="0"/>
                <w:szCs w:val="21"/>
              </w:rPr>
              <w:t>5.拍摄视场角:要求水平视场角度范围≥72.0° ~ 6.1°，垂直视场角度范围≥43.2° ~ 3.5°。</w:t>
            </w:r>
            <w:r>
              <w:rPr>
                <w:rFonts w:hint="eastAsia" w:ascii="宋体" w:hAnsi="宋体" w:eastAsia="宋体" w:cs="宋体"/>
                <w:kern w:val="0"/>
                <w:szCs w:val="21"/>
              </w:rPr>
              <w:br w:type="textWrapping"/>
            </w:r>
            <w:r>
              <w:rPr>
                <w:rFonts w:hint="eastAsia" w:ascii="宋体" w:hAnsi="宋体" w:eastAsia="宋体" w:cs="宋体"/>
                <w:kern w:val="0"/>
                <w:szCs w:val="21"/>
              </w:rPr>
              <w:t>6.视频编码:要求支持H.265、H.264高清视频编码协议。</w:t>
            </w:r>
            <w:r>
              <w:rPr>
                <w:rFonts w:hint="eastAsia" w:ascii="宋体" w:hAnsi="宋体" w:eastAsia="宋体" w:cs="宋体"/>
                <w:kern w:val="0"/>
                <w:szCs w:val="21"/>
              </w:rPr>
              <w:br w:type="textWrapping"/>
            </w:r>
            <w:r>
              <w:rPr>
                <w:rFonts w:hint="eastAsia" w:ascii="宋体" w:hAnsi="宋体" w:eastAsia="宋体" w:cs="宋体"/>
                <w:kern w:val="0"/>
                <w:szCs w:val="21"/>
              </w:rPr>
              <w:t>7.视频输出:要求具备标准SDI视频输出口1，HDMI视频输出口1。</w:t>
            </w:r>
            <w:r>
              <w:rPr>
                <w:rFonts w:hint="eastAsia" w:ascii="宋体" w:hAnsi="宋体" w:eastAsia="宋体" w:cs="宋体"/>
                <w:kern w:val="0"/>
                <w:szCs w:val="21"/>
              </w:rPr>
              <w:br w:type="textWrapping"/>
            </w:r>
            <w:r>
              <w:rPr>
                <w:rFonts w:hint="eastAsia" w:ascii="宋体" w:hAnsi="宋体" w:eastAsia="宋体" w:cs="宋体"/>
                <w:kern w:val="0"/>
                <w:szCs w:val="21"/>
              </w:rPr>
              <w:t>8.背光补偿:要求具备背光补偿功能。</w:t>
            </w:r>
            <w:r>
              <w:rPr>
                <w:rFonts w:hint="eastAsia" w:ascii="宋体" w:hAnsi="宋体" w:eastAsia="宋体" w:cs="宋体"/>
                <w:kern w:val="0"/>
                <w:szCs w:val="21"/>
              </w:rPr>
              <w:br w:type="textWrapping"/>
            </w:r>
            <w:r>
              <w:rPr>
                <w:rFonts w:hint="eastAsia" w:ascii="宋体" w:hAnsi="宋体" w:eastAsia="宋体" w:cs="宋体"/>
                <w:kern w:val="0"/>
                <w:szCs w:val="21"/>
              </w:rPr>
              <w:t>9.控制协议:要求采用VISCA标准摄像机控制协议。</w:t>
            </w:r>
            <w:r>
              <w:rPr>
                <w:rFonts w:hint="eastAsia" w:ascii="宋体" w:hAnsi="宋体" w:eastAsia="宋体" w:cs="宋体"/>
                <w:kern w:val="0"/>
                <w:szCs w:val="21"/>
              </w:rPr>
              <w:br w:type="textWrapping"/>
            </w:r>
            <w:r>
              <w:rPr>
                <w:rFonts w:hint="eastAsia" w:ascii="宋体" w:hAnsi="宋体" w:eastAsia="宋体" w:cs="宋体"/>
                <w:kern w:val="0"/>
                <w:szCs w:val="21"/>
              </w:rPr>
              <w:t>10.通讯接口:要求具备RS232/RS4221。</w:t>
            </w:r>
            <w:r>
              <w:rPr>
                <w:rFonts w:hint="eastAsia" w:ascii="宋体" w:hAnsi="宋体" w:eastAsia="宋体" w:cs="宋体"/>
                <w:kern w:val="0"/>
                <w:szCs w:val="21"/>
              </w:rPr>
              <w:br w:type="textWrapping"/>
            </w:r>
            <w:r>
              <w:rPr>
                <w:rFonts w:hint="eastAsia" w:ascii="宋体" w:hAnsi="宋体" w:eastAsia="宋体" w:cs="宋体"/>
                <w:kern w:val="0"/>
                <w:szCs w:val="21"/>
              </w:rPr>
              <w:t>11.网络输出:要求具备标准RJ45网络接口，并支持RTSP协议支持网络视频输出。</w:t>
            </w:r>
            <w:r>
              <w:rPr>
                <w:rFonts w:hint="eastAsia" w:ascii="宋体" w:hAnsi="宋体" w:eastAsia="宋体" w:cs="宋体"/>
                <w:kern w:val="0"/>
                <w:szCs w:val="21"/>
              </w:rPr>
              <w:br w:type="textWrapping"/>
            </w:r>
            <w:r>
              <w:rPr>
                <w:rFonts w:hint="eastAsia" w:ascii="宋体" w:hAnsi="宋体" w:eastAsia="宋体" w:cs="宋体"/>
                <w:kern w:val="0"/>
                <w:szCs w:val="21"/>
              </w:rPr>
              <w:t>12.音频接口:要求具备≥1路Line in输入口。</w:t>
            </w:r>
            <w:r>
              <w:rPr>
                <w:rFonts w:hint="eastAsia" w:ascii="宋体" w:hAnsi="宋体" w:eastAsia="宋体" w:cs="宋体"/>
                <w:kern w:val="0"/>
                <w:szCs w:val="21"/>
              </w:rPr>
              <w:br w:type="textWrapping"/>
            </w:r>
            <w:r>
              <w:rPr>
                <w:rFonts w:hint="eastAsia" w:ascii="宋体" w:hAnsi="宋体" w:eastAsia="宋体" w:cs="宋体"/>
                <w:kern w:val="0"/>
                <w:szCs w:val="21"/>
              </w:rPr>
              <w:t>13.USB接口:要求具备USB Type-A1。</w:t>
            </w:r>
            <w:r>
              <w:rPr>
                <w:rFonts w:hint="eastAsia" w:ascii="宋体" w:hAnsi="宋体" w:eastAsia="宋体" w:cs="宋体"/>
                <w:kern w:val="0"/>
                <w:szCs w:val="21"/>
              </w:rPr>
              <w:br w:type="textWrapping"/>
            </w:r>
            <w:r>
              <w:rPr>
                <w:rFonts w:hint="eastAsia" w:ascii="宋体" w:hAnsi="宋体" w:eastAsia="宋体" w:cs="宋体"/>
                <w:kern w:val="0"/>
                <w:szCs w:val="21"/>
              </w:rPr>
              <w:t>14.预置位:要求支持设置摄像机预置位，预置位数量255。</w:t>
            </w:r>
            <w:r>
              <w:rPr>
                <w:rFonts w:hint="eastAsia" w:ascii="宋体" w:hAnsi="宋体" w:eastAsia="宋体" w:cs="宋体"/>
                <w:kern w:val="0"/>
                <w:szCs w:val="21"/>
              </w:rPr>
              <w:br w:type="textWrapping"/>
            </w:r>
            <w:r>
              <w:rPr>
                <w:rFonts w:hint="eastAsia" w:ascii="宋体" w:hAnsi="宋体" w:eastAsia="宋体" w:cs="宋体"/>
                <w:kern w:val="0"/>
                <w:szCs w:val="21"/>
              </w:rPr>
              <w:t>15.图像翻转:要求支持图像水平、垂直翻转，适应摄像机不同的安装方式要求。</w:t>
            </w:r>
            <w:r>
              <w:rPr>
                <w:rFonts w:hint="eastAsia" w:ascii="宋体" w:hAnsi="宋体" w:eastAsia="宋体" w:cs="宋体"/>
                <w:kern w:val="0"/>
                <w:szCs w:val="21"/>
              </w:rPr>
              <w:br w:type="textWrapping"/>
            </w:r>
            <w:r>
              <w:rPr>
                <w:rFonts w:hint="eastAsia" w:ascii="宋体" w:hAnsi="宋体" w:eastAsia="宋体" w:cs="宋体"/>
                <w:kern w:val="0"/>
                <w:szCs w:val="21"/>
              </w:rPr>
              <w:t>16.一线通:要求与搭配的录播主机连接，可实现摄像机供电、控制以及视频信号传输。</w:t>
            </w:r>
            <w:r>
              <w:rPr>
                <w:rFonts w:hint="eastAsia" w:ascii="宋体" w:hAnsi="宋体" w:eastAsia="宋体" w:cs="宋体"/>
                <w:kern w:val="0"/>
                <w:szCs w:val="21"/>
              </w:rPr>
              <w:br w:type="textWrapping"/>
            </w:r>
            <w:r>
              <w:rPr>
                <w:rFonts w:hint="eastAsia" w:ascii="宋体" w:hAnsi="宋体" w:eastAsia="宋体" w:cs="宋体"/>
                <w:kern w:val="0"/>
                <w:szCs w:val="21"/>
              </w:rPr>
              <w:t>17.AI跟踪:要求内置跟踪算法，无需增加任何辅助设备即可实现人像自动跟踪，包括水平运动、俯仰运动、变焦、聚焦四维实时跟踪。</w:t>
            </w:r>
            <w:r>
              <w:rPr>
                <w:rFonts w:hint="eastAsia" w:ascii="宋体" w:hAnsi="宋体" w:eastAsia="宋体" w:cs="宋体"/>
                <w:kern w:val="0"/>
                <w:szCs w:val="21"/>
              </w:rPr>
              <w:br w:type="textWrapping"/>
            </w:r>
            <w:r>
              <w:rPr>
                <w:rFonts w:hint="eastAsia" w:ascii="宋体" w:hAnsi="宋体" w:eastAsia="宋体" w:cs="宋体"/>
                <w:kern w:val="0"/>
                <w:szCs w:val="21"/>
              </w:rPr>
              <w:t>18.跟踪逻辑自选:要求支持根据AI智能算法，同一摄像机可根据部署使用场景智能应用为教师、学生跟踪模式，无需手动设置。</w:t>
            </w:r>
            <w:r>
              <w:rPr>
                <w:rFonts w:hint="eastAsia" w:ascii="宋体" w:hAnsi="宋体" w:eastAsia="宋体" w:cs="宋体"/>
                <w:kern w:val="0"/>
                <w:szCs w:val="21"/>
              </w:rPr>
              <w:br w:type="textWrapping"/>
            </w:r>
            <w:r>
              <w:rPr>
                <w:rFonts w:hint="eastAsia" w:ascii="宋体" w:hAnsi="宋体" w:eastAsia="宋体" w:cs="宋体"/>
                <w:kern w:val="0"/>
                <w:szCs w:val="21"/>
              </w:rPr>
              <w:t>19.电源支持:支持录播主机供电、POC和DC12V电源适配器等供电方式。</w:t>
            </w:r>
            <w:r>
              <w:rPr>
                <w:rFonts w:hint="eastAsia" w:ascii="宋体" w:hAnsi="宋体" w:eastAsia="宋体" w:cs="宋体"/>
                <w:kern w:val="0"/>
                <w:szCs w:val="21"/>
              </w:rPr>
              <w:br w:type="textWrapping"/>
            </w:r>
            <w:r>
              <w:rPr>
                <w:rFonts w:hint="eastAsia" w:ascii="宋体" w:hAnsi="宋体" w:eastAsia="宋体" w:cs="宋体"/>
                <w:kern w:val="0"/>
                <w:szCs w:val="21"/>
              </w:rPr>
              <w:t>20.要求摄像机与录播主机为同一品牌。</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7</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高清AI摄像机管理软件</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1.摄像机管理软件采用B/S架构，支持通用浏览器直接访问进行管理。</w:t>
            </w:r>
            <w:r>
              <w:rPr>
                <w:rFonts w:hint="eastAsia" w:ascii="宋体" w:hAnsi="宋体" w:eastAsia="宋体" w:cs="宋体"/>
                <w:kern w:val="0"/>
                <w:szCs w:val="21"/>
              </w:rPr>
              <w:br w:type="textWrapping"/>
            </w:r>
            <w:r>
              <w:rPr>
                <w:rFonts w:hint="eastAsia" w:ascii="宋体" w:hAnsi="宋体" w:eastAsia="宋体" w:cs="宋体"/>
                <w:kern w:val="0"/>
                <w:szCs w:val="21"/>
              </w:rPr>
              <w:t>2.支持曝光模式设置功能，包括自动、手动。</w:t>
            </w:r>
            <w:r>
              <w:rPr>
                <w:rFonts w:hint="eastAsia" w:ascii="宋体" w:hAnsi="宋体" w:eastAsia="宋体" w:cs="宋体"/>
                <w:kern w:val="0"/>
                <w:szCs w:val="21"/>
              </w:rPr>
              <w:br w:type="textWrapping"/>
            </w:r>
            <w:r>
              <w:rPr>
                <w:rFonts w:hint="eastAsia" w:ascii="宋体" w:hAnsi="宋体" w:eastAsia="宋体" w:cs="宋体"/>
                <w:kern w:val="0"/>
                <w:szCs w:val="21"/>
              </w:rPr>
              <w:t>3.支持抗闪烁频率、动态范围、光圈、快门参数设置。</w:t>
            </w:r>
            <w:r>
              <w:rPr>
                <w:rFonts w:hint="eastAsia" w:ascii="宋体" w:hAnsi="宋体" w:eastAsia="宋体" w:cs="宋体"/>
                <w:kern w:val="0"/>
                <w:szCs w:val="21"/>
              </w:rPr>
              <w:br w:type="textWrapping"/>
            </w:r>
            <w:r>
              <w:rPr>
                <w:rFonts w:hint="eastAsia" w:ascii="宋体" w:hAnsi="宋体" w:eastAsia="宋体" w:cs="宋体"/>
                <w:kern w:val="0"/>
                <w:szCs w:val="21"/>
              </w:rPr>
              <w:t>4.支持自动白平衡设置功能，红、蓝增益可调。</w:t>
            </w:r>
            <w:r>
              <w:rPr>
                <w:rFonts w:hint="eastAsia" w:ascii="宋体" w:hAnsi="宋体" w:eastAsia="宋体" w:cs="宋体"/>
                <w:kern w:val="0"/>
                <w:szCs w:val="21"/>
              </w:rPr>
              <w:br w:type="textWrapping"/>
            </w:r>
            <w:r>
              <w:rPr>
                <w:rFonts w:hint="eastAsia" w:ascii="宋体" w:hAnsi="宋体" w:eastAsia="宋体" w:cs="宋体"/>
                <w:kern w:val="0"/>
                <w:szCs w:val="21"/>
              </w:rPr>
              <w:t>5.支持噪声抑制设置功能，支持2D、3D降噪。</w:t>
            </w:r>
            <w:r>
              <w:rPr>
                <w:rFonts w:hint="eastAsia" w:ascii="宋体" w:hAnsi="宋体" w:eastAsia="宋体" w:cs="宋体"/>
                <w:kern w:val="0"/>
                <w:szCs w:val="21"/>
              </w:rPr>
              <w:br w:type="textWrapping"/>
            </w:r>
            <w:r>
              <w:rPr>
                <w:rFonts w:hint="eastAsia" w:ascii="宋体" w:hAnsi="宋体" w:eastAsia="宋体" w:cs="宋体"/>
                <w:kern w:val="0"/>
                <w:szCs w:val="21"/>
              </w:rPr>
              <w:t>6.支持摄像机图像质量调节功能，包括亮度、对比度、色调、饱和度。</w:t>
            </w:r>
            <w:r>
              <w:rPr>
                <w:rFonts w:hint="eastAsia" w:ascii="宋体" w:hAnsi="宋体" w:eastAsia="宋体" w:cs="宋体"/>
                <w:kern w:val="0"/>
                <w:szCs w:val="21"/>
              </w:rPr>
              <w:br w:type="textWrapping"/>
            </w:r>
            <w:r>
              <w:rPr>
                <w:rFonts w:hint="eastAsia" w:ascii="宋体" w:hAnsi="宋体" w:eastAsia="宋体" w:cs="宋体"/>
                <w:kern w:val="0"/>
                <w:szCs w:val="21"/>
              </w:rPr>
              <w:t>7.支持摄像机控制功能，包括云台控制、预置位设置与调用、焦距调节等。</w:t>
            </w:r>
            <w:r>
              <w:rPr>
                <w:rFonts w:hint="eastAsia" w:ascii="宋体" w:hAnsi="宋体" w:eastAsia="宋体" w:cs="宋体"/>
                <w:kern w:val="0"/>
                <w:szCs w:val="21"/>
              </w:rPr>
              <w:br w:type="textWrapping"/>
            </w:r>
            <w:r>
              <w:rPr>
                <w:rFonts w:hint="eastAsia" w:ascii="宋体" w:hAnsi="宋体" w:eastAsia="宋体" w:cs="宋体"/>
                <w:kern w:val="0"/>
                <w:szCs w:val="21"/>
              </w:rPr>
              <w:t>8.支持教师和学生的AI自动识别切换，根据部署位置、模式自主适配教师或学生的跟踪逻辑。</w:t>
            </w:r>
            <w:r>
              <w:rPr>
                <w:rFonts w:hint="eastAsia" w:ascii="宋体" w:hAnsi="宋体" w:eastAsia="宋体" w:cs="宋体"/>
                <w:kern w:val="0"/>
                <w:szCs w:val="21"/>
              </w:rPr>
              <w:br w:type="textWrapping"/>
            </w:r>
            <w:r>
              <w:rPr>
                <w:rFonts w:hint="eastAsia" w:ascii="宋体" w:hAnsi="宋体" w:eastAsia="宋体" w:cs="宋体"/>
                <w:kern w:val="0"/>
                <w:szCs w:val="21"/>
              </w:rPr>
              <w:t>9.支持AI人体特征识别，能够自动识别并锁定跟踪人，人物丢失后再进入拍摄区域可以继续识别锁定进行跟踪。</w:t>
            </w:r>
            <w:r>
              <w:rPr>
                <w:rFonts w:hint="eastAsia" w:ascii="宋体" w:hAnsi="宋体" w:eastAsia="宋体" w:cs="宋体"/>
                <w:kern w:val="0"/>
                <w:szCs w:val="21"/>
              </w:rPr>
              <w:br w:type="textWrapping"/>
            </w:r>
            <w:r>
              <w:rPr>
                <w:rFonts w:hint="eastAsia" w:ascii="宋体" w:hAnsi="宋体" w:eastAsia="宋体" w:cs="宋体"/>
                <w:kern w:val="0"/>
                <w:szCs w:val="21"/>
              </w:rPr>
              <w:t>9.采用教师角色识别逻辑，可基于站立姿态、面/背向状态等多维判定，快速识别教师，避免学生站立影响。</w:t>
            </w:r>
            <w:r>
              <w:rPr>
                <w:rFonts w:hint="eastAsia" w:ascii="宋体" w:hAnsi="宋体" w:eastAsia="宋体" w:cs="宋体"/>
                <w:kern w:val="0"/>
                <w:szCs w:val="21"/>
              </w:rPr>
              <w:br w:type="textWrapping"/>
            </w:r>
            <w:r>
              <w:rPr>
                <w:rFonts w:hint="eastAsia" w:ascii="宋体" w:hAnsi="宋体" w:eastAsia="宋体" w:cs="宋体"/>
                <w:kern w:val="0"/>
                <w:szCs w:val="21"/>
              </w:rPr>
              <w:t>10.支持划分自动跟踪区域，当锁定跟踪人物走出自动跟踪区域时即停止跟踪，直到重新回到区域出现在画面中为止。</w:t>
            </w:r>
            <w:r>
              <w:rPr>
                <w:rFonts w:hint="eastAsia" w:ascii="宋体" w:hAnsi="宋体" w:eastAsia="宋体" w:cs="宋体"/>
                <w:kern w:val="0"/>
                <w:szCs w:val="21"/>
              </w:rPr>
              <w:br w:type="textWrapping"/>
            </w:r>
            <w:r>
              <w:rPr>
                <w:rFonts w:hint="eastAsia" w:ascii="宋体" w:hAnsi="宋体" w:eastAsia="宋体" w:cs="宋体"/>
                <w:kern w:val="0"/>
                <w:szCs w:val="21"/>
              </w:rPr>
              <w:t>11.支持设置跟踪锁定解除时间，被锁定教师人员脱离画面跟踪区域后，在跟踪锁定解除时间到达之后自动解除人员锁定，回归默认状态，等待下一位人员进入画面中开始重新锁定跟踪。</w:t>
            </w:r>
            <w:r>
              <w:rPr>
                <w:rFonts w:hint="eastAsia" w:ascii="宋体" w:hAnsi="宋体" w:eastAsia="宋体" w:cs="宋体"/>
                <w:kern w:val="0"/>
                <w:szCs w:val="21"/>
              </w:rPr>
              <w:br w:type="textWrapping"/>
            </w:r>
            <w:r>
              <w:rPr>
                <w:rFonts w:hint="eastAsia" w:ascii="宋体" w:hAnsi="宋体" w:eastAsia="宋体" w:cs="宋体"/>
                <w:kern w:val="0"/>
                <w:szCs w:val="21"/>
              </w:rPr>
              <w:t>12.支持五分像、七分像、全身像等多种教师图像跟踪画面模式，根据实际需要设置选用教师跟踪画面的大小。</w:t>
            </w:r>
            <w:r>
              <w:rPr>
                <w:rFonts w:hint="eastAsia" w:ascii="宋体" w:hAnsi="宋体" w:eastAsia="宋体" w:cs="宋体"/>
                <w:kern w:val="0"/>
                <w:szCs w:val="21"/>
              </w:rPr>
              <w:br w:type="textWrapping"/>
            </w:r>
            <w:r>
              <w:rPr>
                <w:rFonts w:hint="eastAsia" w:ascii="宋体" w:hAnsi="宋体" w:eastAsia="宋体" w:cs="宋体"/>
                <w:kern w:val="0"/>
                <w:szCs w:val="21"/>
              </w:rPr>
              <w:t>13.支持学生智能跟踪，根据学生站立/做下动作状态，进行学生特写跟踪拍摄，并通知录播主机完成画面切换。</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8</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指向拾音器</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 单体:背极式驻极体。</w:t>
            </w:r>
            <w:r>
              <w:rPr>
                <w:rFonts w:hint="eastAsia" w:ascii="宋体" w:hAnsi="宋体" w:eastAsia="宋体" w:cs="宋体"/>
                <w:kern w:val="0"/>
                <w:szCs w:val="21"/>
              </w:rPr>
              <w:br w:type="textWrapping"/>
            </w:r>
            <w:r>
              <w:rPr>
                <w:rFonts w:hint="eastAsia" w:ascii="宋体" w:hAnsi="宋体" w:eastAsia="宋体" w:cs="宋体"/>
                <w:kern w:val="0"/>
                <w:szCs w:val="21"/>
              </w:rPr>
              <w:t>2. 指向性:超心型。</w:t>
            </w:r>
            <w:r>
              <w:rPr>
                <w:rFonts w:hint="eastAsia" w:ascii="宋体" w:hAnsi="宋体" w:eastAsia="宋体" w:cs="宋体"/>
                <w:kern w:val="0"/>
                <w:szCs w:val="21"/>
              </w:rPr>
              <w:br w:type="textWrapping"/>
            </w:r>
            <w:r>
              <w:rPr>
                <w:rFonts w:hint="eastAsia" w:ascii="宋体" w:hAnsi="宋体" w:eastAsia="宋体" w:cs="宋体"/>
                <w:kern w:val="0"/>
                <w:szCs w:val="21"/>
              </w:rPr>
              <w:t>3. 频率响应:40Hz—16kHz。</w:t>
            </w:r>
            <w:r>
              <w:rPr>
                <w:rFonts w:hint="eastAsia" w:ascii="宋体" w:hAnsi="宋体" w:eastAsia="宋体" w:cs="宋体"/>
                <w:kern w:val="0"/>
                <w:szCs w:val="21"/>
              </w:rPr>
              <w:br w:type="textWrapping"/>
            </w:r>
            <w:r>
              <w:rPr>
                <w:rFonts w:hint="eastAsia" w:ascii="宋体" w:hAnsi="宋体" w:eastAsia="宋体" w:cs="宋体"/>
                <w:kern w:val="0"/>
                <w:szCs w:val="21"/>
              </w:rPr>
              <w:t>4. 低频衰减:内置。</w:t>
            </w:r>
            <w:r>
              <w:rPr>
                <w:rFonts w:hint="eastAsia" w:ascii="宋体" w:hAnsi="宋体" w:eastAsia="宋体" w:cs="宋体"/>
                <w:kern w:val="0"/>
                <w:szCs w:val="21"/>
              </w:rPr>
              <w:br w:type="textWrapping"/>
            </w:r>
            <w:r>
              <w:rPr>
                <w:rFonts w:hint="eastAsia" w:ascii="宋体" w:hAnsi="宋体" w:eastAsia="宋体" w:cs="宋体"/>
                <w:kern w:val="0"/>
                <w:szCs w:val="21"/>
              </w:rPr>
              <w:t>5. 灵敏度:-29dB±3dB  1dB=1V/Pa at 1kHz。</w:t>
            </w:r>
            <w:r>
              <w:rPr>
                <w:rFonts w:hint="eastAsia" w:ascii="宋体" w:hAnsi="宋体" w:eastAsia="宋体" w:cs="宋体"/>
                <w:kern w:val="0"/>
                <w:szCs w:val="21"/>
              </w:rPr>
              <w:br w:type="textWrapping"/>
            </w:r>
            <w:r>
              <w:rPr>
                <w:rFonts w:hint="eastAsia" w:ascii="宋体" w:hAnsi="宋体" w:eastAsia="宋体" w:cs="宋体"/>
                <w:kern w:val="0"/>
                <w:szCs w:val="21"/>
              </w:rPr>
              <w:t>6. 输出抗阻:≥500Ω±20%  at 1kHz。</w:t>
            </w:r>
            <w:r>
              <w:rPr>
                <w:rFonts w:hint="eastAsia" w:ascii="宋体" w:hAnsi="宋体" w:eastAsia="宋体" w:cs="宋体"/>
                <w:kern w:val="0"/>
                <w:szCs w:val="21"/>
              </w:rPr>
              <w:br w:type="textWrapping"/>
            </w:r>
            <w:r>
              <w:rPr>
                <w:rFonts w:hint="eastAsia" w:ascii="宋体" w:hAnsi="宋体" w:eastAsia="宋体" w:cs="宋体"/>
                <w:kern w:val="0"/>
                <w:szCs w:val="21"/>
              </w:rPr>
              <w:t>7. 最大声压级:≥130dB  T.H.D1% at 1kHz。</w:t>
            </w:r>
            <w:r>
              <w:rPr>
                <w:rFonts w:hint="eastAsia" w:ascii="宋体" w:hAnsi="宋体" w:eastAsia="宋体" w:cs="宋体"/>
                <w:kern w:val="0"/>
                <w:szCs w:val="21"/>
              </w:rPr>
              <w:br w:type="textWrapping"/>
            </w:r>
            <w:r>
              <w:rPr>
                <w:rFonts w:hint="eastAsia" w:ascii="宋体" w:hAnsi="宋体" w:eastAsia="宋体" w:cs="宋体"/>
                <w:kern w:val="0"/>
                <w:szCs w:val="21"/>
              </w:rPr>
              <w:t>8. 信噪比:≦70dB  1KHz at 1Pa。</w:t>
            </w:r>
            <w:r>
              <w:rPr>
                <w:rFonts w:hint="eastAsia" w:ascii="宋体" w:hAnsi="宋体" w:eastAsia="宋体" w:cs="宋体"/>
                <w:kern w:val="0"/>
                <w:szCs w:val="21"/>
              </w:rPr>
              <w:br w:type="textWrapping"/>
            </w:r>
            <w:r>
              <w:rPr>
                <w:rFonts w:hint="eastAsia" w:ascii="宋体" w:hAnsi="宋体" w:eastAsia="宋体" w:cs="宋体"/>
                <w:kern w:val="0"/>
                <w:szCs w:val="21"/>
              </w:rPr>
              <w:t>9. 动态范围:≥106dB  1kHz at Max SPL。</w:t>
            </w:r>
            <w:r>
              <w:rPr>
                <w:rFonts w:hint="eastAsia" w:ascii="宋体" w:hAnsi="宋体" w:eastAsia="宋体" w:cs="宋体"/>
                <w:kern w:val="0"/>
                <w:szCs w:val="21"/>
              </w:rPr>
              <w:br w:type="textWrapping"/>
            </w:r>
            <w:r>
              <w:rPr>
                <w:rFonts w:hint="eastAsia" w:ascii="宋体" w:hAnsi="宋体" w:eastAsia="宋体" w:cs="宋体"/>
                <w:kern w:val="0"/>
                <w:szCs w:val="21"/>
              </w:rPr>
              <w:t xml:space="preserve">10. 使用电源:48V 幻象电源   48V DC.，2mA </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9</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录播中控</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 采用物理按键，在讲台上镶嵌式安装方式。</w:t>
            </w:r>
            <w:r>
              <w:rPr>
                <w:rFonts w:hint="eastAsia" w:ascii="宋体" w:hAnsi="宋体" w:eastAsia="宋体" w:cs="宋体"/>
                <w:kern w:val="0"/>
                <w:szCs w:val="21"/>
              </w:rPr>
              <w:br w:type="textWrapping"/>
            </w:r>
            <w:r>
              <w:rPr>
                <w:rFonts w:hint="eastAsia" w:ascii="宋体" w:hAnsi="宋体" w:eastAsia="宋体" w:cs="宋体"/>
                <w:kern w:val="0"/>
                <w:szCs w:val="21"/>
              </w:rPr>
              <w:t>2) 控制接口:RS232。</w:t>
            </w:r>
            <w:r>
              <w:rPr>
                <w:rFonts w:hint="eastAsia" w:ascii="宋体" w:hAnsi="宋体" w:eastAsia="宋体" w:cs="宋体"/>
                <w:kern w:val="0"/>
                <w:szCs w:val="21"/>
              </w:rPr>
              <w:br w:type="textWrapping"/>
            </w:r>
            <w:r>
              <w:rPr>
                <w:rFonts w:hint="eastAsia" w:ascii="宋体" w:hAnsi="宋体" w:eastAsia="宋体" w:cs="宋体"/>
                <w:kern w:val="0"/>
                <w:szCs w:val="21"/>
              </w:rPr>
              <w:t>3) 信号指示灯:支持。</w:t>
            </w:r>
            <w:r>
              <w:rPr>
                <w:rFonts w:hint="eastAsia" w:ascii="宋体" w:hAnsi="宋体" w:eastAsia="宋体" w:cs="宋体"/>
                <w:kern w:val="0"/>
                <w:szCs w:val="21"/>
              </w:rPr>
              <w:br w:type="textWrapping"/>
            </w:r>
            <w:r>
              <w:rPr>
                <w:rFonts w:hint="eastAsia" w:ascii="宋体" w:hAnsi="宋体" w:eastAsia="宋体" w:cs="宋体"/>
                <w:kern w:val="0"/>
                <w:szCs w:val="21"/>
              </w:rPr>
              <w:t>4) 支持一键式系统电源开关控制。</w:t>
            </w:r>
            <w:r>
              <w:rPr>
                <w:rFonts w:hint="eastAsia" w:ascii="宋体" w:hAnsi="宋体" w:eastAsia="宋体" w:cs="宋体"/>
                <w:kern w:val="0"/>
                <w:szCs w:val="21"/>
              </w:rPr>
              <w:br w:type="textWrapping"/>
            </w:r>
            <w:r>
              <w:rPr>
                <w:rFonts w:hint="eastAsia" w:ascii="宋体" w:hAnsi="宋体" w:eastAsia="宋体" w:cs="宋体"/>
                <w:kern w:val="0"/>
                <w:szCs w:val="21"/>
              </w:rPr>
              <w:t xml:space="preserve">5) 一键式录制、停止、锁定电脑信号。 </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10</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电源管理器</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 xml:space="preserve">1. 支持对录播系统控制功能。 </w:t>
            </w:r>
            <w:r>
              <w:rPr>
                <w:rFonts w:hint="eastAsia" w:ascii="宋体" w:hAnsi="宋体" w:eastAsia="宋体" w:cs="宋体"/>
                <w:kern w:val="0"/>
                <w:szCs w:val="21"/>
              </w:rPr>
              <w:br w:type="textWrapping"/>
            </w:r>
            <w:r>
              <w:rPr>
                <w:rFonts w:hint="eastAsia" w:ascii="宋体" w:hAnsi="宋体" w:eastAsia="宋体" w:cs="宋体"/>
                <w:kern w:val="0"/>
                <w:szCs w:val="21"/>
              </w:rPr>
              <w:t>2. 向录播视频系统、音频系统、显示系统提供统一的、至少八路电源管理；从而实现对录播系统的远程集中统一控制。</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11</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教学视频资源管理系统</w:t>
            </w:r>
          </w:p>
        </w:tc>
        <w:tc>
          <w:tcPr>
            <w:tcW w:w="3052" w:type="pct"/>
            <w:vAlign w:val="center"/>
          </w:tcPr>
          <w:p>
            <w:pPr>
              <w:widowControl/>
              <w:numPr>
                <w:ilvl w:val="0"/>
                <w:numId w:val="15"/>
              </w:numPr>
              <w:spacing w:line="300" w:lineRule="auto"/>
              <w:jc w:val="left"/>
              <w:rPr>
                <w:rFonts w:ascii="宋体" w:hAnsi="宋体" w:eastAsia="宋体" w:cs="宋体"/>
                <w:kern w:val="0"/>
                <w:szCs w:val="21"/>
              </w:rPr>
            </w:pPr>
            <w:r>
              <w:rPr>
                <w:rFonts w:hint="eastAsia" w:ascii="宋体" w:hAnsi="宋体" w:eastAsia="宋体" w:cs="宋体"/>
                <w:kern w:val="0"/>
                <w:szCs w:val="21"/>
              </w:rPr>
              <w:t>信息管理系统</w:t>
            </w:r>
            <w:r>
              <w:rPr>
                <w:rFonts w:hint="eastAsia" w:ascii="宋体" w:hAnsi="宋体" w:eastAsia="宋体" w:cs="宋体"/>
                <w:kern w:val="0"/>
                <w:szCs w:val="21"/>
              </w:rPr>
              <w:br w:type="textWrapping"/>
            </w:r>
            <w:r>
              <w:rPr>
                <w:rFonts w:hint="eastAsia" w:ascii="宋体" w:hAnsi="宋体" w:eastAsia="宋体" w:cs="宋体"/>
                <w:kern w:val="0"/>
                <w:szCs w:val="21"/>
              </w:rPr>
              <w:t>（1）录播管理:支持把录播设备接入平台，实现自动转码、无缝直播点播，并具备直播和点播功能。支持对录播进行远程关机、休眠唤醒、启动录制等操作。</w:t>
            </w:r>
            <w:r>
              <w:rPr>
                <w:rFonts w:hint="eastAsia" w:ascii="宋体" w:hAnsi="宋体" w:eastAsia="宋体" w:cs="宋体"/>
                <w:kern w:val="0"/>
                <w:szCs w:val="21"/>
              </w:rPr>
              <w:br w:type="textWrapping"/>
            </w:r>
            <w:r>
              <w:rPr>
                <w:rFonts w:hint="eastAsia" w:ascii="宋体" w:hAnsi="宋体" w:eastAsia="宋体" w:cs="宋体"/>
                <w:kern w:val="0"/>
                <w:szCs w:val="21"/>
              </w:rPr>
              <w:t>（2）多级平台对接:支持校平台与上级区平台进行对接，校平台资源可像区平台提交，并能参加区平台组织的活动。</w:t>
            </w:r>
            <w:r>
              <w:rPr>
                <w:rFonts w:hint="eastAsia" w:ascii="宋体" w:hAnsi="宋体" w:eastAsia="宋体" w:cs="宋体"/>
                <w:kern w:val="0"/>
                <w:szCs w:val="21"/>
              </w:rPr>
              <w:br w:type="textWrapping"/>
            </w:r>
            <w:r>
              <w:rPr>
                <w:rFonts w:hint="eastAsia" w:ascii="宋体" w:hAnsi="宋体" w:eastAsia="宋体" w:cs="宋体"/>
                <w:kern w:val="0"/>
                <w:szCs w:val="21"/>
              </w:rPr>
              <w:t>（3）录制预约:平台支持用户远程进行在线录课预约，可实现单个或批量预约；可直接导入课表实现预约；支持预约信息的申请和审核管理。</w:t>
            </w:r>
            <w:r>
              <w:rPr>
                <w:rFonts w:hint="eastAsia" w:ascii="宋体" w:hAnsi="宋体" w:eastAsia="宋体" w:cs="宋体"/>
                <w:kern w:val="0"/>
                <w:szCs w:val="21"/>
              </w:rPr>
              <w:br w:type="textWrapping"/>
            </w:r>
            <w:r>
              <w:rPr>
                <w:rFonts w:hint="eastAsia" w:ascii="宋体" w:hAnsi="宋体" w:eastAsia="宋体" w:cs="宋体"/>
                <w:kern w:val="0"/>
                <w:szCs w:val="21"/>
              </w:rPr>
              <w:t>（4）资源颗粒度管理:支持视频资源多维度分类，如按年级、学科等分类管理，支持用户自定义分类类型。并支持根据关注度、用户推荐度和点击热度的不同维度在平台呈现。</w:t>
            </w:r>
            <w:r>
              <w:rPr>
                <w:rFonts w:hint="eastAsia" w:ascii="宋体" w:hAnsi="宋体" w:eastAsia="宋体" w:cs="宋体"/>
                <w:kern w:val="0"/>
                <w:szCs w:val="21"/>
              </w:rPr>
              <w:br w:type="textWrapping"/>
            </w:r>
            <w:r>
              <w:rPr>
                <w:rFonts w:hint="eastAsia" w:ascii="宋体" w:hAnsi="宋体" w:eastAsia="宋体" w:cs="宋体"/>
                <w:kern w:val="0"/>
                <w:szCs w:val="21"/>
              </w:rPr>
              <w:t>（5）视频专辑:支持用户可灵活创建各种视频专辑，并自定义专辑类型，可将一同类型的视频进行归类，便于视频的归整和便捷查询。</w:t>
            </w:r>
            <w:r>
              <w:rPr>
                <w:rFonts w:hint="eastAsia" w:ascii="宋体" w:hAnsi="宋体" w:eastAsia="宋体" w:cs="宋体"/>
                <w:kern w:val="0"/>
                <w:szCs w:val="21"/>
              </w:rPr>
              <w:br w:type="textWrapping"/>
            </w:r>
            <w:r>
              <w:rPr>
                <w:rFonts w:hint="eastAsia" w:ascii="宋体" w:hAnsi="宋体" w:eastAsia="宋体" w:cs="宋体"/>
                <w:kern w:val="0"/>
                <w:szCs w:val="21"/>
              </w:rPr>
              <w:t>（6）公告发布:平台首页提供公告模块，支持通过平台发布校务公告、活动通知、行政公告、直播通知、紧急通告等多种类型公告。公告支持按定义的类型进行归类查询，支持用户自定义公告类型。</w:t>
            </w:r>
            <w:r>
              <w:rPr>
                <w:rFonts w:hint="eastAsia" w:ascii="宋体" w:hAnsi="宋体" w:eastAsia="宋体" w:cs="宋体"/>
                <w:kern w:val="0"/>
                <w:szCs w:val="21"/>
              </w:rPr>
              <w:br w:type="textWrapping"/>
            </w:r>
            <w:r>
              <w:rPr>
                <w:rFonts w:hint="eastAsia" w:ascii="宋体" w:hAnsi="宋体" w:eastAsia="宋体" w:cs="宋体"/>
                <w:kern w:val="0"/>
                <w:szCs w:val="21"/>
              </w:rPr>
              <w:t>（7）自动转码功能:支持视频下载、上传、编辑、管理。可实现所有主流视频文件格式自动转码，包括asf、mpg、rmvb、mov、rm、avi、3gp、wmv、flv、mp4等，可设置下载及观看权限。</w:t>
            </w:r>
            <w:r>
              <w:rPr>
                <w:rFonts w:hint="eastAsia" w:ascii="宋体" w:hAnsi="宋体" w:eastAsia="宋体" w:cs="宋体"/>
                <w:kern w:val="0"/>
                <w:szCs w:val="21"/>
              </w:rPr>
              <w:br w:type="textWrapping"/>
            </w:r>
            <w:r>
              <w:rPr>
                <w:rFonts w:hint="eastAsia" w:ascii="宋体" w:hAnsi="宋体" w:eastAsia="宋体" w:cs="宋体"/>
                <w:kern w:val="0"/>
                <w:szCs w:val="21"/>
              </w:rPr>
              <w:t>（8）虚拟切片:支持视频自动划分知识点和教学环节片段，且不破坏视频原来的完整性。知识点与教学环节目录支持在全屏状态下呈现，支持快速点击跳转到相应节点播放，支持片段循环播放。支持对上传的视频添加和修改“知识点”和“教学环节”。</w:t>
            </w:r>
            <w:r>
              <w:rPr>
                <w:rFonts w:hint="eastAsia" w:ascii="宋体" w:hAnsi="宋体" w:eastAsia="宋体" w:cs="宋体"/>
                <w:kern w:val="0"/>
                <w:szCs w:val="21"/>
              </w:rPr>
              <w:br w:type="textWrapping"/>
            </w:r>
            <w:r>
              <w:rPr>
                <w:rFonts w:hint="eastAsia" w:ascii="宋体" w:hAnsi="宋体" w:eastAsia="宋体" w:cs="宋体"/>
                <w:kern w:val="0"/>
                <w:szCs w:val="21"/>
              </w:rPr>
              <w:t>（9）教学行为分析:支持弗兰德斯教学行为分析法（S-T），平台根据跟踪数据生成S-T曲线图，帮助用户进行教学技能提升和评估。S-T行为数据支持后期在线编辑修改，便于教师进行错误修正。</w:t>
            </w:r>
            <w:r>
              <w:rPr>
                <w:rFonts w:hint="eastAsia" w:ascii="宋体" w:hAnsi="宋体" w:eastAsia="宋体" w:cs="宋体"/>
                <w:kern w:val="0"/>
                <w:szCs w:val="21"/>
              </w:rPr>
              <w:br w:type="textWrapping"/>
            </w:r>
            <w:r>
              <w:rPr>
                <w:rFonts w:hint="eastAsia" w:ascii="宋体" w:hAnsi="宋体" w:eastAsia="宋体" w:cs="宋体"/>
                <w:kern w:val="0"/>
                <w:szCs w:val="21"/>
              </w:rPr>
              <w:t>（10）文件检索:支持关键字搜索功能，用户可直接在资源管理平台的页面搜索框输入关键字，对某个视频标题、知识点和教学环节进行搜索。</w:t>
            </w:r>
            <w:r>
              <w:rPr>
                <w:rFonts w:hint="eastAsia" w:ascii="宋体" w:hAnsi="宋体" w:eastAsia="宋体" w:cs="宋体"/>
                <w:kern w:val="0"/>
                <w:szCs w:val="21"/>
              </w:rPr>
              <w:br w:type="textWrapping"/>
            </w:r>
            <w:r>
              <w:rPr>
                <w:rFonts w:hint="eastAsia" w:ascii="宋体" w:hAnsi="宋体" w:eastAsia="宋体" w:cs="宋体"/>
                <w:kern w:val="0"/>
                <w:szCs w:val="21"/>
              </w:rPr>
              <w:t>（11）一键置灰:支持平台肤色一键置灰功能，切合特殊纪念日氛围。</w:t>
            </w:r>
            <w:r>
              <w:rPr>
                <w:rFonts w:hint="eastAsia" w:ascii="宋体" w:hAnsi="宋体" w:eastAsia="宋体" w:cs="宋体"/>
                <w:kern w:val="0"/>
                <w:szCs w:val="21"/>
              </w:rPr>
              <w:br w:type="textWrapping"/>
            </w:r>
            <w:r>
              <w:rPr>
                <w:rFonts w:hint="eastAsia" w:ascii="宋体" w:hAnsi="宋体" w:eastAsia="宋体" w:cs="宋体"/>
                <w:kern w:val="0"/>
                <w:szCs w:val="21"/>
              </w:rPr>
              <w:t>（12）强制播放:支持强制设置播放源，用户点击任意视频均强制播放指定视频源，便于学校进行统一播放和管理。</w:t>
            </w:r>
            <w:r>
              <w:rPr>
                <w:rFonts w:hint="eastAsia" w:ascii="宋体" w:hAnsi="宋体" w:eastAsia="宋体" w:cs="宋体"/>
                <w:kern w:val="0"/>
                <w:szCs w:val="21"/>
              </w:rPr>
              <w:br w:type="textWrapping"/>
            </w:r>
            <w:r>
              <w:rPr>
                <w:rFonts w:hint="eastAsia" w:ascii="宋体" w:hAnsi="宋体" w:eastAsia="宋体" w:cs="宋体"/>
                <w:kern w:val="0"/>
                <w:szCs w:val="21"/>
              </w:rPr>
              <w:t>（13）流量统计:支持平台对用户访问数、页面访问数进行数量统计，用户流量可按日、周、月、年、总浏览数进行分类统计。支持对视频直播流量、点播流量统计，并以曲线图形式展现10天内的访问流量变化趋势。</w:t>
            </w:r>
            <w:r>
              <w:rPr>
                <w:rFonts w:hint="eastAsia" w:ascii="宋体" w:hAnsi="宋体" w:eastAsia="宋体" w:cs="宋体"/>
                <w:kern w:val="0"/>
                <w:szCs w:val="21"/>
              </w:rPr>
              <w:br w:type="textWrapping"/>
            </w:r>
            <w:r>
              <w:rPr>
                <w:rFonts w:hint="eastAsia" w:ascii="宋体" w:hAnsi="宋体" w:eastAsia="宋体" w:cs="宋体"/>
                <w:kern w:val="0"/>
                <w:szCs w:val="21"/>
              </w:rPr>
              <w:t>（14）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rPr>
                <w:rFonts w:hint="eastAsia" w:ascii="宋体" w:hAnsi="宋体" w:eastAsia="宋体" w:cs="宋体"/>
                <w:kern w:val="0"/>
                <w:szCs w:val="21"/>
              </w:rPr>
              <w:br w:type="textWrapping"/>
            </w:r>
            <w:r>
              <w:rPr>
                <w:rFonts w:hint="eastAsia" w:ascii="宋体" w:hAnsi="宋体" w:eastAsia="宋体" w:cs="宋体"/>
                <w:kern w:val="0"/>
                <w:szCs w:val="21"/>
              </w:rPr>
              <w:t>2.直播点播系统</w:t>
            </w:r>
            <w:r>
              <w:rPr>
                <w:rFonts w:hint="eastAsia" w:ascii="宋体" w:hAnsi="宋体" w:eastAsia="宋体" w:cs="宋体"/>
                <w:kern w:val="0"/>
                <w:szCs w:val="21"/>
              </w:rPr>
              <w:br w:type="textWrapping"/>
            </w:r>
            <w:r>
              <w:rPr>
                <w:rFonts w:hint="eastAsia" w:ascii="宋体" w:hAnsi="宋体" w:eastAsia="宋体" w:cs="宋体"/>
                <w:kern w:val="0"/>
                <w:szCs w:val="21"/>
              </w:rPr>
              <w:t>（1）基于flash+html5技术，无需安装插件即可进行跨平台（Windows、Linux、IOS）视频点播观看。</w:t>
            </w:r>
            <w:r>
              <w:rPr>
                <w:rFonts w:hint="eastAsia" w:ascii="宋体" w:hAnsi="宋体" w:eastAsia="宋体" w:cs="宋体"/>
                <w:kern w:val="0"/>
                <w:szCs w:val="21"/>
              </w:rPr>
              <w:br w:type="textWrapping"/>
            </w:r>
            <w:r>
              <w:rPr>
                <w:rFonts w:hint="eastAsia" w:ascii="宋体" w:hAnsi="宋体" w:eastAsia="宋体" w:cs="宋体"/>
                <w:kern w:val="0"/>
                <w:szCs w:val="21"/>
              </w:rPr>
              <w:t>（2）支持流媒体转发服务，平台支持≥200点以上高清直播功能。</w:t>
            </w:r>
            <w:r>
              <w:rPr>
                <w:rFonts w:hint="eastAsia" w:ascii="宋体" w:hAnsi="宋体" w:eastAsia="宋体" w:cs="宋体"/>
                <w:kern w:val="0"/>
                <w:szCs w:val="21"/>
              </w:rPr>
              <w:br w:type="textWrapping"/>
            </w:r>
            <w:r>
              <w:rPr>
                <w:rFonts w:hint="eastAsia" w:ascii="宋体" w:hAnsi="宋体" w:eastAsia="宋体" w:cs="宋体"/>
                <w:kern w:val="0"/>
                <w:szCs w:val="21"/>
              </w:rPr>
              <w:t>（3）集群技术:支持直播集群技术，以支持系统的横向拓展，随系统应用规模的拓展逐渐增加转发服务器以支持更大规模直播。</w:t>
            </w:r>
            <w:r>
              <w:rPr>
                <w:rFonts w:hint="eastAsia" w:ascii="宋体" w:hAnsi="宋体" w:eastAsia="宋体" w:cs="宋体"/>
                <w:kern w:val="0"/>
                <w:szCs w:val="21"/>
              </w:rPr>
              <w:br w:type="textWrapping"/>
            </w:r>
            <w:r>
              <w:rPr>
                <w:rFonts w:hint="eastAsia" w:ascii="宋体" w:hAnsi="宋体" w:eastAsia="宋体" w:cs="宋体"/>
                <w:kern w:val="0"/>
                <w:szCs w:val="21"/>
              </w:rPr>
              <w:t>（4）多码率支持:要求转发时支持标清、高清两种清晰度设置，点播视频时可根据网络情况在播放器窗口进行高标清切换观看。</w:t>
            </w:r>
            <w:r>
              <w:rPr>
                <w:rFonts w:hint="eastAsia" w:ascii="宋体" w:hAnsi="宋体" w:eastAsia="宋体" w:cs="宋体"/>
                <w:kern w:val="0"/>
                <w:szCs w:val="21"/>
              </w:rPr>
              <w:br w:type="textWrapping"/>
            </w:r>
            <w:r>
              <w:rPr>
                <w:rFonts w:hint="eastAsia" w:ascii="宋体" w:hAnsi="宋体" w:eastAsia="宋体" w:cs="宋体"/>
                <w:kern w:val="0"/>
                <w:szCs w:val="21"/>
              </w:rPr>
              <w:t>（5）支持直播权限及密码设置，让直播信息更加安全。</w:t>
            </w:r>
            <w:r>
              <w:rPr>
                <w:rFonts w:hint="eastAsia" w:ascii="宋体" w:hAnsi="宋体" w:eastAsia="宋体" w:cs="宋体"/>
                <w:kern w:val="0"/>
                <w:szCs w:val="21"/>
              </w:rPr>
              <w:br w:type="textWrapping"/>
            </w:r>
            <w:r>
              <w:rPr>
                <w:rFonts w:hint="eastAsia" w:ascii="宋体" w:hAnsi="宋体" w:eastAsia="宋体" w:cs="宋体"/>
                <w:kern w:val="0"/>
                <w:szCs w:val="21"/>
              </w:rPr>
              <w:t>（6）支持上传教案、课件等视频附件，附件可与视频进行绑定。支持word、excel、ppt、PDF、jpeg等格式。用户在点播视频时下载附件。</w:t>
            </w:r>
            <w:r>
              <w:rPr>
                <w:rFonts w:hint="eastAsia" w:ascii="宋体" w:hAnsi="宋体" w:eastAsia="宋体" w:cs="宋体"/>
                <w:kern w:val="0"/>
                <w:szCs w:val="21"/>
              </w:rPr>
              <w:br w:type="textWrapping"/>
            </w:r>
            <w:r>
              <w:rPr>
                <w:rFonts w:hint="eastAsia" w:ascii="宋体" w:hAnsi="宋体" w:eastAsia="宋体" w:cs="宋体"/>
                <w:kern w:val="0"/>
                <w:szCs w:val="21"/>
              </w:rPr>
              <w:t>（7）提供视频转发分享功能，支持二维码分享和一键转发分享至新浪微博、QQ、微信等社交平台中。</w:t>
            </w:r>
            <w:r>
              <w:rPr>
                <w:rFonts w:hint="eastAsia" w:ascii="宋体" w:hAnsi="宋体" w:eastAsia="宋体" w:cs="宋体"/>
                <w:kern w:val="0"/>
                <w:szCs w:val="21"/>
              </w:rPr>
              <w:br w:type="textWrapping"/>
            </w:r>
            <w:r>
              <w:rPr>
                <w:rFonts w:hint="eastAsia" w:ascii="宋体" w:hAnsi="宋体" w:eastAsia="宋体" w:cs="宋体"/>
                <w:kern w:val="0"/>
                <w:szCs w:val="21"/>
              </w:rPr>
              <w:t>3.微课管理系统</w:t>
            </w:r>
            <w:r>
              <w:rPr>
                <w:rFonts w:hint="eastAsia" w:ascii="宋体" w:hAnsi="宋体" w:eastAsia="宋体" w:cs="宋体"/>
                <w:kern w:val="0"/>
                <w:szCs w:val="21"/>
              </w:rPr>
              <w:br w:type="textWrapping"/>
            </w:r>
            <w:r>
              <w:rPr>
                <w:rFonts w:hint="eastAsia" w:ascii="宋体" w:hAnsi="宋体" w:eastAsia="宋体" w:cs="宋体"/>
                <w:kern w:val="0"/>
                <w:szCs w:val="21"/>
              </w:rPr>
              <w:t>（1）提供微课管理模块，支持自定义微课时长限制，在规定时长内的视频上传平台后自动归类到微课模块当中，并支持按学段、学科进行自动归类整理。</w:t>
            </w:r>
            <w:r>
              <w:rPr>
                <w:rFonts w:hint="eastAsia" w:ascii="宋体" w:hAnsi="宋体" w:eastAsia="宋体" w:cs="宋体"/>
                <w:kern w:val="0"/>
                <w:szCs w:val="21"/>
              </w:rPr>
              <w:br w:type="textWrapping"/>
            </w:r>
            <w:r>
              <w:rPr>
                <w:rFonts w:hint="eastAsia" w:ascii="宋体" w:hAnsi="宋体" w:eastAsia="宋体" w:cs="宋体"/>
                <w:kern w:val="0"/>
                <w:szCs w:val="21"/>
              </w:rPr>
              <w:t>★（2）支持直接从平台下载微课录制软件并安装于笔记本电脑中。微课视频录制完毕后支持一键上传到平台，或下载到本地电脑保存。</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★（3）微课录制软件需满足包括教师头像、实物展台、课件PPT在内的三路视频源切换及组合布局录制，支持课件与老师画中画模式。</w:t>
            </w:r>
            <w:r>
              <w:rPr>
                <w:rFonts w:hint="eastAsia" w:ascii="宋体" w:hAnsi="宋体" w:eastAsia="宋体" w:cs="宋体"/>
                <w:kern w:val="0"/>
                <w:szCs w:val="21"/>
              </w:rPr>
              <w:br w:type="textWrapping"/>
            </w:r>
            <w:r>
              <w:rPr>
                <w:rFonts w:hint="eastAsia" w:ascii="宋体" w:hAnsi="宋体" w:eastAsia="宋体" w:cs="宋体"/>
                <w:kern w:val="0"/>
                <w:szCs w:val="21"/>
              </w:rPr>
              <w:t>（4）支持PPT课件导入、课件批注，在微课录制的同时支持PPT分页预览，并进行切换录制。</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12</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资源平台服务器</w:t>
            </w:r>
          </w:p>
        </w:tc>
        <w:tc>
          <w:tcPr>
            <w:tcW w:w="3052" w:type="pct"/>
            <w:vAlign w:val="center"/>
          </w:tcPr>
          <w:p>
            <w:pPr>
              <w:widowControl/>
              <w:numPr>
                <w:ilvl w:val="0"/>
                <w:numId w:val="16"/>
              </w:numPr>
              <w:spacing w:line="300" w:lineRule="auto"/>
              <w:jc w:val="left"/>
              <w:rPr>
                <w:rFonts w:ascii="宋体" w:hAnsi="宋体" w:eastAsia="宋体" w:cs="宋体"/>
                <w:kern w:val="0"/>
                <w:szCs w:val="21"/>
              </w:rPr>
            </w:pPr>
            <w:r>
              <w:rPr>
                <w:rFonts w:hint="eastAsia" w:ascii="宋体" w:hAnsi="宋体" w:eastAsia="宋体" w:cs="宋体"/>
                <w:kern w:val="0"/>
                <w:szCs w:val="21"/>
              </w:rPr>
              <w:t>设备高度:1U。</w:t>
            </w:r>
            <w:r>
              <w:rPr>
                <w:rFonts w:hint="eastAsia" w:ascii="宋体" w:hAnsi="宋体" w:eastAsia="宋体" w:cs="宋体"/>
                <w:kern w:val="0"/>
                <w:szCs w:val="21"/>
              </w:rPr>
              <w:br w:type="textWrapping"/>
            </w:r>
            <w:r>
              <w:rPr>
                <w:rFonts w:hint="eastAsia" w:ascii="宋体" w:hAnsi="宋体" w:eastAsia="宋体" w:cs="宋体"/>
                <w:kern w:val="0"/>
                <w:szCs w:val="21"/>
              </w:rPr>
              <w:t>（2）硬件架构:嵌入式ARM架构设计，主机出厂内置视频资源管理平台，无需进行复杂的系统环境、软件安装作。</w:t>
            </w:r>
            <w:r>
              <w:rPr>
                <w:rFonts w:hint="eastAsia" w:ascii="宋体" w:hAnsi="宋体" w:eastAsia="宋体" w:cs="宋体"/>
                <w:kern w:val="0"/>
                <w:szCs w:val="21"/>
              </w:rPr>
              <w:br w:type="textWrapping"/>
            </w:r>
            <w:r>
              <w:rPr>
                <w:rFonts w:hint="eastAsia" w:ascii="宋体" w:hAnsi="宋体" w:eastAsia="宋体" w:cs="宋体"/>
                <w:kern w:val="0"/>
                <w:szCs w:val="21"/>
              </w:rPr>
              <w:t>（3）系统支持:Linux系统</w:t>
            </w:r>
            <w:r>
              <w:rPr>
                <w:rFonts w:hint="eastAsia" w:ascii="宋体" w:hAnsi="宋体" w:eastAsia="宋体" w:cs="宋体"/>
                <w:kern w:val="0"/>
                <w:szCs w:val="21"/>
              </w:rPr>
              <w:br w:type="textWrapping"/>
            </w:r>
            <w:r>
              <w:rPr>
                <w:rFonts w:hint="eastAsia" w:ascii="宋体" w:hAnsi="宋体" w:eastAsia="宋体" w:cs="宋体"/>
                <w:kern w:val="0"/>
                <w:szCs w:val="21"/>
              </w:rPr>
              <w:t>（4）数据库支持:MYSQL</w:t>
            </w:r>
            <w:r>
              <w:rPr>
                <w:rFonts w:hint="eastAsia" w:ascii="宋体" w:hAnsi="宋体" w:eastAsia="宋体" w:cs="宋体"/>
                <w:kern w:val="0"/>
                <w:szCs w:val="21"/>
              </w:rPr>
              <w:br w:type="textWrapping"/>
            </w:r>
            <w:r>
              <w:rPr>
                <w:rFonts w:hint="eastAsia" w:ascii="宋体" w:hAnsi="宋体" w:eastAsia="宋体" w:cs="宋体"/>
                <w:kern w:val="0"/>
                <w:szCs w:val="21"/>
              </w:rPr>
              <w:t>（5）存储容量:≥4TB SATA 7.2k 3.5in</w:t>
            </w:r>
            <w:r>
              <w:rPr>
                <w:rFonts w:hint="eastAsia" w:ascii="宋体" w:hAnsi="宋体" w:eastAsia="宋体" w:cs="宋体"/>
                <w:kern w:val="0"/>
                <w:szCs w:val="21"/>
              </w:rPr>
              <w:br w:type="textWrapping"/>
            </w:r>
            <w:r>
              <w:rPr>
                <w:rFonts w:hint="eastAsia" w:ascii="宋体" w:hAnsi="宋体" w:eastAsia="宋体" w:cs="宋体"/>
                <w:kern w:val="0"/>
                <w:szCs w:val="21"/>
              </w:rPr>
              <w:t>（6）网络连接:RJ45千兆网口</w:t>
            </w:r>
            <w:r>
              <w:rPr>
                <w:rFonts w:hint="eastAsia" w:ascii="宋体" w:hAnsi="宋体" w:eastAsia="宋体" w:cs="宋体"/>
                <w:kern w:val="0"/>
                <w:szCs w:val="21"/>
              </w:rPr>
              <w:br w:type="textWrapping"/>
            </w:r>
            <w:r>
              <w:rPr>
                <w:rFonts w:hint="eastAsia" w:ascii="宋体" w:hAnsi="宋体" w:eastAsia="宋体" w:cs="宋体"/>
                <w:kern w:val="0"/>
                <w:szCs w:val="21"/>
              </w:rPr>
              <w:t>（7）通讯接口:USB2.02</w:t>
            </w:r>
            <w:r>
              <w:rPr>
                <w:rFonts w:hint="eastAsia" w:ascii="宋体" w:hAnsi="宋体" w:eastAsia="宋体" w:cs="宋体"/>
                <w:kern w:val="0"/>
                <w:szCs w:val="21"/>
              </w:rPr>
              <w:br w:type="textWrapping"/>
            </w:r>
            <w:r>
              <w:rPr>
                <w:rFonts w:hint="eastAsia" w:ascii="宋体" w:hAnsi="宋体" w:eastAsia="宋体" w:cs="宋体"/>
                <w:kern w:val="0"/>
                <w:szCs w:val="21"/>
              </w:rPr>
              <w:t>（8）支持Rst设备一键复位功能</w:t>
            </w:r>
            <w:r>
              <w:rPr>
                <w:rFonts w:hint="eastAsia" w:ascii="宋体" w:hAnsi="宋体" w:eastAsia="宋体" w:cs="宋体"/>
                <w:kern w:val="0"/>
                <w:szCs w:val="21"/>
              </w:rPr>
              <w:br w:type="textWrapping"/>
            </w:r>
            <w:r>
              <w:rPr>
                <w:rFonts w:hint="eastAsia" w:ascii="宋体" w:hAnsi="宋体" w:eastAsia="宋体" w:cs="宋体"/>
                <w:kern w:val="0"/>
                <w:szCs w:val="21"/>
              </w:rPr>
              <w:t>★（9）采用安全电压≦DC36V供电，节能环保，采用无风扇设计，低噪音。</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（10）支持流媒体转发、直播、点播功能，单台主机支持≥200点转发直播、支持大规模点播。</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13</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导播控制台</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1.支持≥5种特技效果。</w:t>
            </w:r>
            <w:r>
              <w:rPr>
                <w:rFonts w:hint="eastAsia" w:ascii="宋体" w:hAnsi="宋体" w:eastAsia="宋体" w:cs="宋体"/>
                <w:kern w:val="0"/>
                <w:szCs w:val="21"/>
              </w:rPr>
              <w:br w:type="textWrapping"/>
            </w:r>
            <w:r>
              <w:rPr>
                <w:rFonts w:hint="eastAsia" w:ascii="宋体" w:hAnsi="宋体" w:eastAsia="宋体" w:cs="宋体"/>
                <w:kern w:val="0"/>
                <w:szCs w:val="21"/>
              </w:rPr>
              <w:t>2.支持≥6布局选择；6路视频直播切换；6个预置位；6个视频预选功能。</w:t>
            </w:r>
            <w:r>
              <w:rPr>
                <w:rFonts w:hint="eastAsia" w:ascii="宋体" w:hAnsi="宋体" w:eastAsia="宋体" w:cs="宋体"/>
                <w:kern w:val="0"/>
                <w:szCs w:val="21"/>
              </w:rPr>
              <w:br w:type="textWrapping"/>
            </w:r>
            <w:r>
              <w:rPr>
                <w:rFonts w:hint="eastAsia" w:ascii="宋体" w:hAnsi="宋体" w:eastAsia="宋体" w:cs="宋体"/>
                <w:kern w:val="0"/>
                <w:szCs w:val="21"/>
              </w:rPr>
              <w:t>3.支持云台控制功能:上下左右及变焦功能。</w:t>
            </w:r>
            <w:r>
              <w:rPr>
                <w:rFonts w:hint="eastAsia" w:ascii="宋体" w:hAnsi="宋体" w:eastAsia="宋体" w:cs="宋体"/>
                <w:kern w:val="0"/>
                <w:szCs w:val="21"/>
              </w:rPr>
              <w:br w:type="textWrapping"/>
            </w:r>
            <w:r>
              <w:rPr>
                <w:rFonts w:hint="eastAsia" w:ascii="宋体" w:hAnsi="宋体" w:eastAsia="宋体" w:cs="宋体"/>
                <w:kern w:val="0"/>
                <w:szCs w:val="21"/>
              </w:rPr>
              <w:t>4.支持录制、暂停、停止功能。</w:t>
            </w:r>
            <w:r>
              <w:rPr>
                <w:rFonts w:hint="eastAsia" w:ascii="宋体" w:hAnsi="宋体" w:eastAsia="宋体" w:cs="宋体"/>
                <w:kern w:val="0"/>
                <w:szCs w:val="21"/>
              </w:rPr>
              <w:br w:type="textWrapping"/>
            </w:r>
            <w:r>
              <w:rPr>
                <w:rFonts w:hint="eastAsia" w:ascii="宋体" w:hAnsi="宋体" w:eastAsia="宋体" w:cs="宋体"/>
                <w:kern w:val="0"/>
                <w:szCs w:val="21"/>
              </w:rPr>
              <w:t>5.支持全自动录播模式和手动录播模式。</w:t>
            </w:r>
            <w:r>
              <w:rPr>
                <w:rFonts w:hint="eastAsia" w:ascii="宋体" w:hAnsi="宋体" w:eastAsia="宋体" w:cs="宋体"/>
                <w:kern w:val="0"/>
                <w:szCs w:val="21"/>
              </w:rPr>
              <w:br w:type="textWrapping"/>
            </w:r>
            <w:r>
              <w:rPr>
                <w:rFonts w:hint="eastAsia" w:ascii="宋体" w:hAnsi="宋体" w:eastAsia="宋体" w:cs="宋体"/>
                <w:kern w:val="0"/>
                <w:szCs w:val="21"/>
              </w:rPr>
              <w:t>6.支持通过USB线缆连接录播主机。</w:t>
            </w:r>
            <w:r>
              <w:rPr>
                <w:rFonts w:hint="eastAsia" w:ascii="宋体" w:hAnsi="宋体" w:eastAsia="宋体" w:cs="宋体"/>
                <w:kern w:val="0"/>
                <w:szCs w:val="21"/>
              </w:rPr>
              <w:br w:type="textWrapping"/>
            </w:r>
            <w:r>
              <w:rPr>
                <w:rFonts w:hint="eastAsia" w:ascii="宋体" w:hAnsi="宋体" w:eastAsia="宋体" w:cs="宋体"/>
                <w:kern w:val="0"/>
                <w:szCs w:val="21"/>
              </w:rPr>
              <w:t>7.安装导播控制台软件，并设置录播地址。</w:t>
            </w:r>
            <w:r>
              <w:rPr>
                <w:rFonts w:hint="eastAsia" w:ascii="宋体" w:hAnsi="宋体" w:eastAsia="宋体" w:cs="宋体"/>
                <w:kern w:val="0"/>
                <w:szCs w:val="21"/>
              </w:rPr>
              <w:br w:type="textWrapping"/>
            </w:r>
            <w:r>
              <w:rPr>
                <w:rFonts w:hint="eastAsia" w:ascii="宋体" w:hAnsi="宋体" w:eastAsia="宋体" w:cs="宋体"/>
                <w:kern w:val="0"/>
                <w:szCs w:val="21"/>
              </w:rPr>
              <w:t>8.导播界面与导播控制台按键/状态同步对应。</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14</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无线话筒</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 xml:space="preserve">1、话筒类型:手持/领夹可根据用户需要选配。                             </w:t>
            </w:r>
            <w:r>
              <w:rPr>
                <w:rFonts w:hint="eastAsia" w:ascii="宋体" w:hAnsi="宋体" w:eastAsia="宋体" w:cs="宋体"/>
                <w:kern w:val="0"/>
                <w:szCs w:val="21"/>
              </w:rPr>
              <w:br w:type="textWrapping"/>
            </w:r>
            <w:r>
              <w:rPr>
                <w:rFonts w:hint="eastAsia" w:ascii="宋体" w:hAnsi="宋体" w:eastAsia="宋体" w:cs="宋体"/>
                <w:kern w:val="0"/>
                <w:szCs w:val="21"/>
              </w:rPr>
              <w:t xml:space="preserve">2、射频范围:610-690MHz。                                   </w:t>
            </w:r>
            <w:r>
              <w:rPr>
                <w:rFonts w:hint="eastAsia" w:ascii="宋体" w:hAnsi="宋体" w:eastAsia="宋体" w:cs="宋体"/>
                <w:kern w:val="0"/>
                <w:szCs w:val="21"/>
              </w:rPr>
              <w:br w:type="textWrapping"/>
            </w:r>
            <w:r>
              <w:rPr>
                <w:rFonts w:hint="eastAsia" w:ascii="宋体" w:hAnsi="宋体" w:eastAsia="宋体" w:cs="宋体"/>
                <w:kern w:val="0"/>
                <w:szCs w:val="21"/>
              </w:rPr>
              <w:t xml:space="preserve">3、调制方式:宽带FM 。                                  </w:t>
            </w:r>
            <w:r>
              <w:rPr>
                <w:rFonts w:hint="eastAsia" w:ascii="宋体" w:hAnsi="宋体" w:eastAsia="宋体" w:cs="宋体"/>
                <w:kern w:val="0"/>
                <w:szCs w:val="21"/>
              </w:rPr>
              <w:br w:type="textWrapping"/>
            </w:r>
            <w:r>
              <w:rPr>
                <w:rFonts w:hint="eastAsia" w:ascii="宋体" w:hAnsi="宋体" w:eastAsia="宋体" w:cs="宋体"/>
                <w:kern w:val="0"/>
                <w:szCs w:val="21"/>
              </w:rPr>
              <w:t xml:space="preserve">4、信道数目:≥200。                                              </w:t>
            </w:r>
            <w:r>
              <w:rPr>
                <w:rFonts w:hint="eastAsia" w:ascii="宋体" w:hAnsi="宋体" w:eastAsia="宋体" w:cs="宋体"/>
                <w:kern w:val="0"/>
                <w:szCs w:val="21"/>
              </w:rPr>
              <w:br w:type="textWrapping"/>
            </w:r>
            <w:r>
              <w:rPr>
                <w:rFonts w:hint="eastAsia" w:ascii="宋体" w:hAnsi="宋体" w:eastAsia="宋体" w:cs="宋体"/>
                <w:kern w:val="0"/>
                <w:szCs w:val="21"/>
              </w:rPr>
              <w:t xml:space="preserve">5、频道间隔:≥250KHz。                                                 6、频率稳定度:±0.005%以内。                                    </w:t>
            </w:r>
            <w:r>
              <w:rPr>
                <w:rFonts w:hint="eastAsia" w:ascii="宋体" w:hAnsi="宋体" w:eastAsia="宋体" w:cs="宋体"/>
                <w:kern w:val="0"/>
                <w:szCs w:val="21"/>
              </w:rPr>
              <w:br w:type="textWrapping"/>
            </w:r>
            <w:r>
              <w:rPr>
                <w:rFonts w:hint="eastAsia" w:ascii="宋体" w:hAnsi="宋体" w:eastAsia="宋体" w:cs="宋体"/>
                <w:kern w:val="0"/>
                <w:szCs w:val="21"/>
              </w:rPr>
              <w:t xml:space="preserve">7、动态范围:≥100dB。                                                 </w:t>
            </w:r>
            <w:r>
              <w:rPr>
                <w:rFonts w:hint="eastAsia" w:ascii="宋体" w:hAnsi="宋体" w:eastAsia="宋体" w:cs="宋体"/>
                <w:kern w:val="0"/>
                <w:szCs w:val="21"/>
              </w:rPr>
              <w:br w:type="textWrapping"/>
            </w:r>
            <w:r>
              <w:rPr>
                <w:rFonts w:hint="eastAsia" w:ascii="宋体" w:hAnsi="宋体" w:eastAsia="宋体" w:cs="宋体"/>
                <w:kern w:val="0"/>
                <w:szCs w:val="21"/>
              </w:rPr>
              <w:t xml:space="preserve">8、最大频偏:±45KHz。                                              </w:t>
            </w:r>
            <w:r>
              <w:rPr>
                <w:rFonts w:hint="eastAsia" w:ascii="宋体" w:hAnsi="宋体" w:eastAsia="宋体" w:cs="宋体"/>
                <w:kern w:val="0"/>
                <w:szCs w:val="21"/>
              </w:rPr>
              <w:br w:type="textWrapping"/>
            </w:r>
            <w:r>
              <w:rPr>
                <w:rFonts w:hint="eastAsia" w:ascii="宋体" w:hAnsi="宋体" w:eastAsia="宋体" w:cs="宋体"/>
                <w:kern w:val="0"/>
                <w:szCs w:val="21"/>
              </w:rPr>
              <w:t xml:space="preserve">9、频率响应:80Hz-18KHz（±3dB）。                                </w:t>
            </w:r>
            <w:r>
              <w:rPr>
                <w:rFonts w:hint="eastAsia" w:ascii="宋体" w:hAnsi="宋体" w:eastAsia="宋体" w:cs="宋体"/>
                <w:kern w:val="0"/>
                <w:szCs w:val="21"/>
              </w:rPr>
              <w:br w:type="textWrapping"/>
            </w:r>
            <w:r>
              <w:rPr>
                <w:rFonts w:hint="eastAsia" w:ascii="宋体" w:hAnsi="宋体" w:eastAsia="宋体" w:cs="宋体"/>
                <w:kern w:val="0"/>
                <w:szCs w:val="21"/>
              </w:rPr>
              <w:t xml:space="preserve">10、综合信噪比:≦105dB 。                                                11、综合失真:≦0.5%。                                               12、工作距离:约100m。                                              13、工作温度:-10℃~+40℃。                                                                                                               </w:t>
            </w:r>
            <w:r>
              <w:rPr>
                <w:rFonts w:hint="eastAsia" w:ascii="宋体" w:hAnsi="宋体" w:eastAsia="宋体" w:cs="宋体"/>
                <w:kern w:val="0"/>
                <w:szCs w:val="21"/>
              </w:rPr>
              <w:br w:type="textWrapping"/>
            </w:r>
            <w:r>
              <w:rPr>
                <w:rFonts w:hint="eastAsia" w:ascii="宋体" w:hAnsi="宋体" w:eastAsia="宋体" w:cs="宋体"/>
                <w:kern w:val="0"/>
                <w:szCs w:val="21"/>
              </w:rPr>
              <w:t xml:space="preserve">14、接收机方式:二次变频超外差。                            </w:t>
            </w:r>
            <w:r>
              <w:rPr>
                <w:rFonts w:hint="eastAsia" w:ascii="宋体" w:hAnsi="宋体" w:eastAsia="宋体" w:cs="宋体"/>
                <w:kern w:val="0"/>
                <w:szCs w:val="21"/>
              </w:rPr>
              <w:br w:type="textWrapping"/>
            </w:r>
            <w:r>
              <w:rPr>
                <w:rFonts w:hint="eastAsia" w:ascii="宋体" w:hAnsi="宋体" w:eastAsia="宋体" w:cs="宋体"/>
                <w:kern w:val="0"/>
                <w:szCs w:val="21"/>
              </w:rPr>
              <w:t xml:space="preserve">15、中频频率:第一中频:110MHz  第二中频:10.7MHz。                                                        </w:t>
            </w:r>
            <w:r>
              <w:rPr>
                <w:rFonts w:hint="eastAsia" w:ascii="宋体" w:hAnsi="宋体" w:eastAsia="宋体" w:cs="宋体"/>
                <w:kern w:val="0"/>
                <w:szCs w:val="21"/>
              </w:rPr>
              <w:br w:type="textWrapping"/>
            </w:r>
            <w:r>
              <w:rPr>
                <w:rFonts w:hint="eastAsia" w:ascii="宋体" w:hAnsi="宋体" w:eastAsia="宋体" w:cs="宋体"/>
                <w:kern w:val="0"/>
                <w:szCs w:val="21"/>
              </w:rPr>
              <w:t xml:space="preserve">16、无线接口:BNC/50Ω。                                                 17、灵敏度:≥12dB μV（80dBS/N)。                                           18、灵敏度调节范围:12-32dB μV。                               </w:t>
            </w:r>
            <w:r>
              <w:rPr>
                <w:rFonts w:hint="eastAsia" w:ascii="宋体" w:hAnsi="宋体" w:eastAsia="宋体" w:cs="宋体"/>
                <w:kern w:val="0"/>
                <w:szCs w:val="21"/>
              </w:rPr>
              <w:br w:type="textWrapping"/>
            </w:r>
            <w:r>
              <w:rPr>
                <w:rFonts w:hint="eastAsia" w:ascii="宋体" w:hAnsi="宋体" w:eastAsia="宋体" w:cs="宋体"/>
                <w:kern w:val="0"/>
                <w:szCs w:val="21"/>
              </w:rPr>
              <w:t>19、离散抑制:≥75dB。</w:t>
            </w:r>
            <w:r>
              <w:rPr>
                <w:rFonts w:hint="eastAsia" w:ascii="宋体" w:hAnsi="宋体" w:eastAsia="宋体" w:cs="宋体"/>
                <w:kern w:val="0"/>
                <w:szCs w:val="21"/>
              </w:rPr>
              <w:br w:type="textWrapping"/>
            </w:r>
            <w:r>
              <w:rPr>
                <w:rFonts w:hint="eastAsia" w:ascii="宋体" w:hAnsi="宋体" w:eastAsia="宋体" w:cs="宋体"/>
                <w:kern w:val="0"/>
                <w:szCs w:val="21"/>
              </w:rPr>
              <w:t xml:space="preserve">20、最大输出电平:+10dBV。                                         </w:t>
            </w:r>
            <w:r>
              <w:rPr>
                <w:rFonts w:hint="eastAsia" w:ascii="宋体" w:hAnsi="宋体" w:eastAsia="宋体" w:cs="宋体"/>
                <w:kern w:val="0"/>
                <w:szCs w:val="21"/>
              </w:rPr>
              <w:br w:type="textWrapping"/>
            </w:r>
            <w:r>
              <w:rPr>
                <w:rFonts w:hint="eastAsia" w:ascii="宋体" w:hAnsi="宋体" w:eastAsia="宋体" w:cs="宋体"/>
                <w:kern w:val="0"/>
                <w:szCs w:val="21"/>
              </w:rPr>
              <w:t>21、音头:动圈式麦克风（双手持话筒）。                              22、天线:手持麦克风内置螺旋天线，佩挂发射机采用 1/4 波长鞭状天线。                                                          23、输出功率:高功率≥ 30mW；低功率 ≦3mW。                                       24、离散抑制:-60dB 。</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只</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15</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专业音箱</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1.输出功率:60W-100W， 阻抗:≦8欧姆。</w:t>
            </w:r>
            <w:r>
              <w:rPr>
                <w:rFonts w:hint="eastAsia" w:ascii="宋体" w:hAnsi="宋体" w:eastAsia="宋体" w:cs="宋体"/>
                <w:kern w:val="0"/>
                <w:szCs w:val="21"/>
              </w:rPr>
              <w:br w:type="textWrapping"/>
            </w:r>
            <w:r>
              <w:rPr>
                <w:rFonts w:hint="eastAsia" w:ascii="宋体" w:hAnsi="宋体" w:eastAsia="宋体" w:cs="宋体"/>
                <w:kern w:val="0"/>
                <w:szCs w:val="21"/>
              </w:rPr>
              <w:t>2.频率响应:68Hz-20KHz。</w:t>
            </w:r>
            <w:r>
              <w:rPr>
                <w:rFonts w:hint="eastAsia" w:ascii="宋体" w:hAnsi="宋体" w:eastAsia="宋体" w:cs="宋体"/>
                <w:kern w:val="0"/>
                <w:szCs w:val="21"/>
              </w:rPr>
              <w:br w:type="textWrapping"/>
            </w:r>
            <w:r>
              <w:rPr>
                <w:rFonts w:hint="eastAsia" w:ascii="宋体" w:hAnsi="宋体" w:eastAsia="宋体" w:cs="宋体"/>
                <w:kern w:val="0"/>
                <w:szCs w:val="21"/>
              </w:rPr>
              <w:t>3.单元构成:Low 6.5” *1 ， Hi 1” *1。</w:t>
            </w:r>
            <w:r>
              <w:rPr>
                <w:rFonts w:hint="eastAsia" w:ascii="宋体" w:hAnsi="宋体" w:eastAsia="宋体" w:cs="宋体"/>
                <w:kern w:val="0"/>
                <w:szCs w:val="21"/>
              </w:rPr>
              <w:br w:type="textWrapping"/>
            </w:r>
            <w:r>
              <w:rPr>
                <w:rFonts w:hint="eastAsia" w:ascii="宋体" w:hAnsi="宋体" w:eastAsia="宋体" w:cs="宋体"/>
                <w:kern w:val="0"/>
                <w:szCs w:val="21"/>
              </w:rPr>
              <w:t>4.灵敏度:≦90dB(1w/1m)。</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对</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16</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多媒体讲桌</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规格:≥1500x600x1011mm。</w:t>
            </w:r>
            <w:r>
              <w:rPr>
                <w:rFonts w:hint="eastAsia" w:ascii="宋体" w:hAnsi="宋体" w:eastAsia="宋体" w:cs="宋体"/>
                <w:kern w:val="0"/>
                <w:szCs w:val="21"/>
              </w:rPr>
              <w:br w:type="textWrapping"/>
            </w:r>
            <w:r>
              <w:rPr>
                <w:rFonts w:hint="eastAsia" w:ascii="宋体" w:hAnsi="宋体" w:eastAsia="宋体" w:cs="宋体"/>
                <w:kern w:val="0"/>
                <w:szCs w:val="21"/>
              </w:rPr>
              <w:t>桌面采用≥25mm厚高密度纤维板，经高温高压双面贴美耐板。桌面四周封T型ABS饰条。桌子腿采用≥2mm厚优质无缝钢管高温烤制而成。脚轮采用承重≥100KGS原生尼龙成型，每个脚轮都带有刹车。教师讲义板采用≥18mm双面贴美耐板，周边贴配色PVC封边条。杯架是原生ABS一次浇注成型。弯管机构采用≥2mm无缝钢管，喷粉，高温烤制而成。</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17</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学生桌</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学生桌规格:≥650*450*640-760mm，升降高度30mm一档，最低640mm，最高760mm。</w:t>
            </w:r>
            <w:r>
              <w:rPr>
                <w:rFonts w:hint="eastAsia" w:ascii="宋体" w:hAnsi="宋体" w:eastAsia="宋体" w:cs="宋体"/>
                <w:kern w:val="0"/>
                <w:szCs w:val="21"/>
              </w:rPr>
              <w:br w:type="textWrapping"/>
            </w:r>
            <w:r>
              <w:rPr>
                <w:rFonts w:hint="eastAsia" w:ascii="宋体" w:hAnsi="宋体" w:eastAsia="宋体" w:cs="宋体"/>
                <w:kern w:val="0"/>
                <w:szCs w:val="21"/>
              </w:rPr>
              <w:t>一、桌钢管参数:</w:t>
            </w:r>
            <w:r>
              <w:rPr>
                <w:rFonts w:hint="eastAsia" w:ascii="宋体" w:hAnsi="宋体" w:eastAsia="宋体" w:cs="宋体"/>
                <w:kern w:val="0"/>
                <w:szCs w:val="21"/>
              </w:rPr>
              <w:br w:type="textWrapping"/>
            </w:r>
            <w:r>
              <w:rPr>
                <w:rFonts w:hint="eastAsia" w:ascii="宋体" w:hAnsi="宋体" w:eastAsia="宋体" w:cs="宋体"/>
                <w:kern w:val="0"/>
                <w:szCs w:val="21"/>
              </w:rPr>
              <w:t>1.1、下桌脚:采用≥40*20*1.5mm眼睛管，采用缩管工艺与上柱相匹配；经过酸洗电镀，立柱底部加装防潮脚垫，不直接接触地面。</w:t>
            </w:r>
            <w:r>
              <w:rPr>
                <w:rFonts w:hint="eastAsia" w:ascii="宋体" w:hAnsi="宋体" w:eastAsia="宋体" w:cs="宋体"/>
                <w:kern w:val="0"/>
                <w:szCs w:val="21"/>
              </w:rPr>
              <w:br w:type="textWrapping"/>
            </w:r>
            <w:r>
              <w:rPr>
                <w:rFonts w:hint="eastAsia" w:ascii="宋体" w:hAnsi="宋体" w:eastAsia="宋体" w:cs="宋体"/>
                <w:kern w:val="0"/>
                <w:szCs w:val="21"/>
              </w:rPr>
              <w:t>1.2、上部桌脚管，采用≥26*46*1.5mm的眼睛管；经过酸洗磷化，喷粉，防潮防锈。</w:t>
            </w:r>
            <w:r>
              <w:rPr>
                <w:rFonts w:hint="eastAsia" w:ascii="宋体" w:hAnsi="宋体" w:eastAsia="宋体" w:cs="宋体"/>
                <w:kern w:val="0"/>
                <w:szCs w:val="21"/>
              </w:rPr>
              <w:br w:type="textWrapping"/>
            </w:r>
            <w:r>
              <w:rPr>
                <w:rFonts w:hint="eastAsia" w:ascii="宋体" w:hAnsi="宋体" w:eastAsia="宋体" w:cs="宋体"/>
                <w:kern w:val="0"/>
                <w:szCs w:val="21"/>
              </w:rPr>
              <w:t>1.3、上连接加强管，采用≥26*46*1.5mm的眼睛管,竖向焊接，让上部稳定性更强。</w:t>
            </w:r>
            <w:r>
              <w:rPr>
                <w:rFonts w:hint="eastAsia" w:ascii="宋体" w:hAnsi="宋体" w:eastAsia="宋体" w:cs="宋体"/>
                <w:kern w:val="0"/>
                <w:szCs w:val="21"/>
              </w:rPr>
              <w:br w:type="textWrapping"/>
            </w:r>
            <w:r>
              <w:rPr>
                <w:rFonts w:hint="eastAsia" w:ascii="宋体" w:hAnsi="宋体" w:eastAsia="宋体" w:cs="宋体"/>
                <w:kern w:val="0"/>
                <w:szCs w:val="21"/>
              </w:rPr>
              <w:t>1.4、塑料盒尺寸:≥445mm*360mm*95mm,选用一级PP材料。前端凹陷笔槽设计，规格:≥420*25*5mm，在实现功能性的同时，使结构更牢固；≥48个两种长条镂空设计，相互变换，让抽屉内部空间通风，防潮防发霉，方面清理，保持空间整洁。</w:t>
            </w:r>
            <w:r>
              <w:rPr>
                <w:rFonts w:hint="eastAsia" w:ascii="宋体" w:hAnsi="宋体" w:eastAsia="宋体" w:cs="宋体"/>
                <w:kern w:val="0"/>
                <w:szCs w:val="21"/>
              </w:rPr>
              <w:br w:type="textWrapping"/>
            </w:r>
            <w:r>
              <w:rPr>
                <w:rFonts w:hint="eastAsia" w:ascii="宋体" w:hAnsi="宋体" w:eastAsia="宋体" w:cs="宋体"/>
                <w:kern w:val="0"/>
                <w:szCs w:val="21"/>
              </w:rPr>
              <w:t>1.5、板面规格为:≥长650mm*宽450mm*厚25mm,面贴厚度采用≥0.6 mm三聚氰胺板。板材甲醛含量达到国家环保标准。板边靠学生面，弧面设计弧高≥20mm，使用更方便；桌面封边全部采用PP材料一体注塑成型不能单独分开，注塑单边厚度≥2mm，注塑边总高度≥29mm。保证使用过程中不易被撕掉或脱落。桌四边角圆弧≥R15mm，有效防止学生碰伤；带IPAD槽,规格:≥250*15*15（H）mm，槽底有≥7个圆孔，方便清理槽内卫生。</w:t>
            </w:r>
            <w:r>
              <w:rPr>
                <w:rFonts w:hint="eastAsia" w:ascii="宋体" w:hAnsi="宋体" w:eastAsia="宋体" w:cs="宋体"/>
                <w:kern w:val="0"/>
                <w:szCs w:val="21"/>
              </w:rPr>
              <w:br w:type="textWrapping"/>
            </w:r>
            <w:r>
              <w:rPr>
                <w:rFonts w:hint="eastAsia" w:ascii="宋体" w:hAnsi="宋体" w:eastAsia="宋体" w:cs="宋体"/>
                <w:kern w:val="0"/>
                <w:szCs w:val="21"/>
              </w:rPr>
              <w:t>1.6、桌后脚套:桌后脚套规格为≥143*30*60（H）；仿脚型设计，两边三道浅凹槽美观大方，与下脚弯管处形成配合增加稳定性；与地面接触部分采用软胶塑料设计，软胶垫规格:≥29**140*14Hmm，Ø8mm的实心胶柱与后脚垫上的孔相配合，通过铆钉固定，让地面与脚垫之间形成柔性缓冲，耐磨防滑，保护地面。</w:t>
            </w:r>
            <w:r>
              <w:rPr>
                <w:rFonts w:hint="eastAsia" w:ascii="宋体" w:hAnsi="宋体" w:eastAsia="宋体" w:cs="宋体"/>
                <w:kern w:val="0"/>
                <w:szCs w:val="21"/>
              </w:rPr>
              <w:br w:type="textWrapping"/>
            </w:r>
            <w:r>
              <w:rPr>
                <w:rFonts w:hint="eastAsia" w:ascii="宋体" w:hAnsi="宋体" w:eastAsia="宋体" w:cs="宋体"/>
                <w:kern w:val="0"/>
                <w:szCs w:val="21"/>
              </w:rPr>
              <w:t>1.7、桌前脚套:桌前脚套规格:≥82*28*45（H）；前后曲面设计，铆钉固定，两面浅凹槽设计；与地面接触部分采用软胶塑料设计，前脚垫规格:≥26*58*14（H）mm,采用TPU材质，Ø10mm的空心胶柱与前脚套的孔相配合，空心胶柱套头有三角形嵌入式凸起设计，与脚套结合不易脱落，通过铆钉与前脚套一起固定，形成整体，让地面与脚垫之间形成柔性缓冲，耐磨防滑，保护地面。</w:t>
            </w:r>
            <w:r>
              <w:rPr>
                <w:rFonts w:hint="eastAsia" w:ascii="宋体" w:hAnsi="宋体" w:eastAsia="宋体" w:cs="宋体"/>
                <w:kern w:val="0"/>
                <w:szCs w:val="21"/>
              </w:rPr>
              <w:br w:type="textWrapping"/>
            </w:r>
            <w:r>
              <w:rPr>
                <w:rFonts w:hint="eastAsia" w:ascii="宋体" w:hAnsi="宋体" w:eastAsia="宋体" w:cs="宋体"/>
                <w:kern w:val="0"/>
                <w:szCs w:val="21"/>
              </w:rPr>
              <w:t>★学生课桌桌面符合GB/T 21866-2008的三聚氰胺面抗细菌性能标准、大肠杆菌和金黄色葡萄球菌抗菌率标准要求1级（即抗菌率≥99.00%）。投标人需提供提供符合本项要求的测试报告。</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★投标人需提供学生桌需通过依据QB/T4071-2010、QB/T3826-1999、和QB/T3832-1999检测标准，检测结果为700小时中性盐雾10级测试的检测报告，检测报封面带有CMA、CNAS标志（国认监认字）。</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★学生课桌椅类塑料制品符合GB/T31402-2015标准的抗菌抑菌功能，大肠杆菌检测抗菌性能值≥2.1，抗菌率≥99.2%:金黄色葡萄球菌检测抗菌性能值≥2.5，抗菌率≥99.5%。投标人需提供符合以上标准要求的检测报告。</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★课桌木板装饰面通过依据GB/T15102-2017的浸渍胶膜纸饰面纤维板耐磨检测标准，具备良好的耐磨性能，耐磨达到≤80mg/1000r的检测标准。投标人需提供课桌木板装饰面符合以上标准的检测报告。</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★投标人需提供产品制造厂商出具的售后服务承诺书。</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张</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18</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学生椅</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规格:≥450*450*460mm。</w:t>
            </w:r>
            <w:r>
              <w:rPr>
                <w:rFonts w:hint="eastAsia" w:ascii="宋体" w:hAnsi="宋体" w:eastAsia="宋体" w:cs="宋体"/>
                <w:kern w:val="0"/>
                <w:szCs w:val="21"/>
              </w:rPr>
              <w:br w:type="textWrapping"/>
            </w:r>
            <w:r>
              <w:rPr>
                <w:rFonts w:hint="eastAsia" w:ascii="宋体" w:hAnsi="宋体" w:eastAsia="宋体" w:cs="宋体"/>
                <w:kern w:val="0"/>
                <w:szCs w:val="21"/>
              </w:rPr>
              <w:t>1、椅架脚管采用≥20*40*1.5mm的眼睛钢管制成，钢管用液压一次抽芯弯成型，不能出现折皱和凹槽。钢管焊接处要求满焊，保证牢固性。</w:t>
            </w:r>
            <w:r>
              <w:rPr>
                <w:rFonts w:hint="eastAsia" w:ascii="宋体" w:hAnsi="宋体" w:eastAsia="宋体" w:cs="宋体"/>
                <w:kern w:val="0"/>
                <w:szCs w:val="21"/>
              </w:rPr>
              <w:br w:type="textWrapping"/>
            </w:r>
            <w:r>
              <w:rPr>
                <w:rFonts w:hint="eastAsia" w:ascii="宋体" w:hAnsi="宋体" w:eastAsia="宋体" w:cs="宋体"/>
                <w:kern w:val="0"/>
                <w:szCs w:val="21"/>
              </w:rPr>
              <w:t>2、椅架连接管采用≥22*1.5mm形钢管制成，钢管焊接处要求满焊，保证牢固性。</w:t>
            </w:r>
            <w:r>
              <w:rPr>
                <w:rFonts w:hint="eastAsia" w:ascii="宋体" w:hAnsi="宋体" w:eastAsia="宋体" w:cs="宋体"/>
                <w:kern w:val="0"/>
                <w:szCs w:val="21"/>
              </w:rPr>
              <w:br w:type="textWrapping"/>
            </w:r>
            <w:r>
              <w:rPr>
                <w:rFonts w:hint="eastAsia" w:ascii="宋体" w:hAnsi="宋体" w:eastAsia="宋体" w:cs="宋体"/>
                <w:kern w:val="0"/>
                <w:szCs w:val="21"/>
              </w:rPr>
              <w:t>3、背板:采用PP材质，座面中空吹塑，坐落时有缓冲作用，符合人体工学；椅子座板深度为≥450mm。座板底部具有V字形凹槽,与三角封盖相配合；三个梯形凹陷设计，符合力学原理，安全可靠;靠背和座板连接部分为弧形双层内凹连接；靠背外沿部分厚度≥17mm，靠背上沿宽度≥425mm，座板在平行桌面上，静止状态高度≥425mm，椅背椭圆孔尺寸为≥100*48mm,美观与功能型相统一，方便搬运，使用更方便。</w:t>
            </w:r>
            <w:r>
              <w:rPr>
                <w:rFonts w:hint="eastAsia" w:ascii="宋体" w:hAnsi="宋体" w:eastAsia="宋体" w:cs="宋体"/>
                <w:kern w:val="0"/>
                <w:szCs w:val="21"/>
              </w:rPr>
              <w:br w:type="textWrapping"/>
            </w:r>
            <w:r>
              <w:rPr>
                <w:rFonts w:hint="eastAsia" w:ascii="宋体" w:hAnsi="宋体" w:eastAsia="宋体" w:cs="宋体"/>
                <w:kern w:val="0"/>
                <w:szCs w:val="21"/>
              </w:rPr>
              <w:t>4、接部件:椅架和座板连接方式采用内嵌式连接，椅架底部为三角型，椅架必须内嵌在座板底部凹槽中，保证支架不容易从椅板中脱离，椅架外面采用ABS工程塑料三角封盖进行固定，三角封盖和椅板吻合，达到牢固以及美观的效果。</w:t>
            </w:r>
            <w:r>
              <w:rPr>
                <w:rFonts w:hint="eastAsia" w:ascii="宋体" w:hAnsi="宋体" w:eastAsia="宋体" w:cs="宋体"/>
                <w:kern w:val="0"/>
                <w:szCs w:val="21"/>
              </w:rPr>
              <w:br w:type="textWrapping"/>
            </w:r>
            <w:r>
              <w:rPr>
                <w:rFonts w:hint="eastAsia" w:ascii="宋体" w:hAnsi="宋体" w:eastAsia="宋体" w:cs="宋体"/>
                <w:kern w:val="0"/>
                <w:szCs w:val="21"/>
              </w:rPr>
              <w:t>5、椅前脚套:椅前脚套: 桌前脚套规格:≥82*28*45（H）mm；前后曲面设计，铆钉固定，两面浅凹槽设计；与地面接触部分采用软胶塑料设计，前脚垫规格:≥26*58*14（H）mm,采用TPU材质，≥Ø10mm的空心胶柱与前脚套的孔相配合，空心胶柱套头有三角形嵌入式凸起设计，与脚套结合不易脱落，通过铆钉与前脚套一起固定，形成整体，让地面与脚垫之间形成柔</w:t>
            </w:r>
            <w:r>
              <w:rPr>
                <w:rFonts w:hint="eastAsia" w:ascii="宋体" w:hAnsi="宋体" w:eastAsia="宋体" w:cs="宋体"/>
                <w:kern w:val="0"/>
                <w:szCs w:val="21"/>
              </w:rPr>
              <w:br w:type="textWrapping"/>
            </w:r>
            <w:r>
              <w:rPr>
                <w:rFonts w:hint="eastAsia" w:ascii="宋体" w:hAnsi="宋体" w:eastAsia="宋体" w:cs="宋体"/>
                <w:kern w:val="0"/>
                <w:szCs w:val="21"/>
              </w:rPr>
              <w:t>6、椅后脚套:椅桌后脚套:桌后脚套规格为≥143*30*60（H）；仿脚型设计，两边三道浅凹槽美观大方，与下脚弯管处形成配合增加稳定性；与地面接触部分采用软胶塑料设计，软胶垫规格:≥29**140*14Hmm，≥Ø8mm的实心胶柱与后脚垫上的孔相配合，通过铆钉固定，让地面与脚垫之间形成柔性缓冲，耐磨防滑，保护地面。</w:t>
            </w:r>
            <w:r>
              <w:rPr>
                <w:rFonts w:hint="eastAsia" w:ascii="宋体" w:hAnsi="宋体" w:eastAsia="宋体" w:cs="宋体"/>
                <w:kern w:val="0"/>
                <w:szCs w:val="21"/>
              </w:rPr>
              <w:br w:type="textWrapping"/>
            </w:r>
            <w:r>
              <w:rPr>
                <w:rFonts w:hint="eastAsia" w:ascii="宋体" w:hAnsi="宋体" w:eastAsia="宋体" w:cs="宋体"/>
                <w:kern w:val="0"/>
                <w:szCs w:val="21"/>
              </w:rPr>
              <w:t>★塑胶学生椅背板及塑胶学生椅座板具有良好的抗老化和抗紫外线辐射性能，符合GB/T16422.3-2014及GB/T 250-2008相关标准，投标人需提供符合本项要求的检测报告。</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★学生椅钢管椭圆管通过依据QB/T3826-1999，QB/T3832-1999的检测标准，检测结果为700h中性盐雾10级测试，投标人需提供符合本项要求的测试报告，检测报告封面有CMA、CNAS标志（国认监认字）。</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★课桌椅塑料材料具有耐高温及阻燃性能，检测依据为UL94-2013 REV.9:2018第8节，通过20mm垂直燃烧测试，测试结果不低于V-2等级。投标人需提供符合本项要求的测试报告。</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★投标人需提供产品制造厂商出具的售后服务承诺书。</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19</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观摩室电视</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≥65英寸显示系统，含壁挂架或吊架，带HDMI高清接口，支持≥4K超高清。</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20</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 xml:space="preserve">机柜 </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≥1.2米标准网络机柜。</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个</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21</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交换机</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≥16口千兆交换机。</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22</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导播主机</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1.处理器:≥i5-4460。</w:t>
            </w:r>
            <w:r>
              <w:rPr>
                <w:rFonts w:hint="eastAsia" w:ascii="宋体" w:hAnsi="宋体" w:eastAsia="宋体" w:cs="宋体"/>
                <w:kern w:val="0"/>
                <w:szCs w:val="21"/>
              </w:rPr>
              <w:br w:type="textWrapping"/>
            </w:r>
            <w:r>
              <w:rPr>
                <w:rFonts w:hint="eastAsia" w:ascii="宋体" w:hAnsi="宋体" w:eastAsia="宋体" w:cs="宋体"/>
                <w:kern w:val="0"/>
                <w:szCs w:val="21"/>
              </w:rPr>
              <w:t>2.内存:容量≥4G DDR3。</w:t>
            </w:r>
            <w:r>
              <w:rPr>
                <w:rFonts w:hint="eastAsia" w:ascii="宋体" w:hAnsi="宋体" w:eastAsia="宋体" w:cs="宋体"/>
                <w:kern w:val="0"/>
                <w:szCs w:val="21"/>
              </w:rPr>
              <w:br w:type="textWrapping"/>
            </w:r>
            <w:r>
              <w:rPr>
                <w:rFonts w:hint="eastAsia" w:ascii="宋体" w:hAnsi="宋体" w:eastAsia="宋体" w:cs="宋体"/>
                <w:kern w:val="0"/>
                <w:szCs w:val="21"/>
              </w:rPr>
              <w:t>3.硬盘容量:容量≥1000G。</w:t>
            </w:r>
            <w:r>
              <w:rPr>
                <w:rFonts w:hint="eastAsia" w:ascii="宋体" w:hAnsi="宋体" w:eastAsia="宋体" w:cs="宋体"/>
                <w:kern w:val="0"/>
                <w:szCs w:val="21"/>
              </w:rPr>
              <w:br w:type="textWrapping"/>
            </w:r>
            <w:r>
              <w:rPr>
                <w:rFonts w:hint="eastAsia" w:ascii="宋体" w:hAnsi="宋体" w:eastAsia="宋体" w:cs="宋体"/>
                <w:kern w:val="0"/>
                <w:szCs w:val="21"/>
              </w:rPr>
              <w:t>4.声卡:集成声卡。</w:t>
            </w:r>
            <w:r>
              <w:rPr>
                <w:rFonts w:hint="eastAsia" w:ascii="宋体" w:hAnsi="宋体" w:eastAsia="宋体" w:cs="宋体"/>
                <w:kern w:val="0"/>
                <w:szCs w:val="21"/>
              </w:rPr>
              <w:br w:type="textWrapping"/>
            </w:r>
            <w:r>
              <w:rPr>
                <w:rFonts w:hint="eastAsia" w:ascii="宋体" w:hAnsi="宋体" w:eastAsia="宋体" w:cs="宋体"/>
                <w:kern w:val="0"/>
                <w:szCs w:val="21"/>
              </w:rPr>
              <w:t>5.显卡:集成高性能显卡。</w:t>
            </w:r>
            <w:r>
              <w:rPr>
                <w:rFonts w:hint="eastAsia" w:ascii="宋体" w:hAnsi="宋体" w:eastAsia="宋体" w:cs="宋体"/>
                <w:kern w:val="0"/>
                <w:szCs w:val="21"/>
              </w:rPr>
              <w:br w:type="textWrapping"/>
            </w:r>
            <w:r>
              <w:rPr>
                <w:rFonts w:hint="eastAsia" w:ascii="宋体" w:hAnsi="宋体" w:eastAsia="宋体" w:cs="宋体"/>
                <w:kern w:val="0"/>
                <w:szCs w:val="21"/>
              </w:rPr>
              <w:t>6.显示系统:≥21.5寸，分辨率≥1920*1080。</w:t>
            </w:r>
            <w:r>
              <w:rPr>
                <w:rFonts w:hint="eastAsia" w:ascii="宋体" w:hAnsi="宋体" w:eastAsia="宋体" w:cs="宋体"/>
                <w:kern w:val="0"/>
                <w:szCs w:val="21"/>
              </w:rPr>
              <w:br w:type="textWrapping"/>
            </w:r>
            <w:r>
              <w:rPr>
                <w:rFonts w:hint="eastAsia" w:ascii="宋体" w:hAnsi="宋体" w:eastAsia="宋体" w:cs="宋体"/>
                <w:kern w:val="0"/>
                <w:szCs w:val="21"/>
              </w:rPr>
              <w:t>7.鼠标:USB接口防菌光电鼠标。</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23</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智慧黑板</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一、硬件功能</w:t>
            </w:r>
            <w:r>
              <w:rPr>
                <w:rFonts w:hint="eastAsia" w:ascii="宋体" w:hAnsi="宋体" w:eastAsia="宋体" w:cs="宋体"/>
                <w:kern w:val="0"/>
                <w:szCs w:val="21"/>
              </w:rPr>
              <w:br w:type="textWrapping"/>
            </w:r>
            <w:r>
              <w:rPr>
                <w:rFonts w:hint="eastAsia" w:ascii="宋体" w:hAnsi="宋体" w:eastAsia="宋体" w:cs="宋体"/>
                <w:kern w:val="0"/>
                <w:szCs w:val="21"/>
              </w:rPr>
              <w:t>1.整体外观尺寸:宽度≥4200mm，高度≥1200mm。</w:t>
            </w:r>
            <w:r>
              <w:rPr>
                <w:rFonts w:hint="eastAsia" w:ascii="宋体" w:hAnsi="宋体" w:eastAsia="宋体" w:cs="宋体"/>
                <w:kern w:val="0"/>
                <w:szCs w:val="21"/>
              </w:rPr>
              <w:br w:type="textWrapping"/>
            </w:r>
            <w:r>
              <w:rPr>
                <w:rFonts w:hint="eastAsia" w:ascii="宋体" w:hAnsi="宋体" w:eastAsia="宋体" w:cs="宋体"/>
                <w:kern w:val="0"/>
                <w:szCs w:val="21"/>
              </w:rPr>
              <w:t>2.液晶显示采用≥86吋UHD超高清LED液晶屏，显示比例≥16:9，分辨率≥3840*2160。</w:t>
            </w:r>
            <w:r>
              <w:rPr>
                <w:rFonts w:hint="eastAsia" w:ascii="宋体" w:hAnsi="宋体" w:eastAsia="宋体" w:cs="宋体"/>
                <w:kern w:val="0"/>
                <w:szCs w:val="21"/>
              </w:rPr>
              <w:br w:type="textWrapping"/>
            </w:r>
            <w:r>
              <w:rPr>
                <w:rFonts w:hint="eastAsia" w:ascii="宋体" w:hAnsi="宋体" w:eastAsia="宋体" w:cs="宋体"/>
                <w:kern w:val="0"/>
                <w:szCs w:val="21"/>
              </w:rPr>
              <w:t>3.嵌入式系统≥Android 11性能配置，存储≥8GB，内存≥2GB。</w:t>
            </w:r>
            <w:r>
              <w:rPr>
                <w:rFonts w:hint="eastAsia" w:ascii="宋体" w:hAnsi="宋体" w:eastAsia="宋体" w:cs="宋体"/>
                <w:kern w:val="0"/>
                <w:szCs w:val="21"/>
              </w:rPr>
              <w:br w:type="textWrapping"/>
            </w:r>
            <w:r>
              <w:rPr>
                <w:rFonts w:hint="eastAsia" w:ascii="宋体" w:hAnsi="宋体" w:eastAsia="宋体" w:cs="宋体"/>
                <w:kern w:val="0"/>
                <w:szCs w:val="21"/>
              </w:rPr>
              <w:t>4.采用电容触控技术，支持Windows系统中进行40点或以上触控，支持在Android系统中进行32点或以上触控。</w:t>
            </w:r>
            <w:r>
              <w:rPr>
                <w:rFonts w:hint="eastAsia" w:ascii="宋体" w:hAnsi="宋体" w:eastAsia="宋体" w:cs="宋体"/>
                <w:kern w:val="0"/>
                <w:szCs w:val="21"/>
              </w:rPr>
              <w:br w:type="textWrapping"/>
            </w:r>
            <w:r>
              <w:rPr>
                <w:rFonts w:hint="eastAsia" w:ascii="宋体" w:hAnsi="宋体" w:eastAsia="宋体" w:cs="宋体"/>
                <w:kern w:val="0"/>
                <w:szCs w:val="21"/>
              </w:rPr>
              <w:t>5.≥2.2声道扬声器，位于设备上边框，顶置朝前发声。前朝向10W高音扬声器≥2个，上朝向20W中低音扬声器≥2个，总功率≥60W。</w:t>
            </w:r>
            <w:r>
              <w:rPr>
                <w:rFonts w:hint="eastAsia" w:ascii="宋体" w:hAnsi="宋体" w:eastAsia="宋体" w:cs="宋体"/>
                <w:kern w:val="0"/>
                <w:szCs w:val="21"/>
              </w:rPr>
              <w:br w:type="textWrapping"/>
            </w:r>
            <w:r>
              <w:rPr>
                <w:rFonts w:hint="eastAsia" w:ascii="宋体" w:hAnsi="宋体" w:eastAsia="宋体" w:cs="宋体"/>
                <w:kern w:val="0"/>
                <w:szCs w:val="21"/>
              </w:rPr>
              <w:t>6.≥4阵列麦克风，可用于对教室环境音频进行采集，拾音距离≥12m。</w:t>
            </w:r>
            <w:r>
              <w:rPr>
                <w:rFonts w:hint="eastAsia" w:ascii="宋体" w:hAnsi="宋体" w:eastAsia="宋体" w:cs="宋体"/>
                <w:kern w:val="0"/>
                <w:szCs w:val="21"/>
              </w:rPr>
              <w:br w:type="textWrapping"/>
            </w:r>
            <w:r>
              <w:rPr>
                <w:rFonts w:hint="eastAsia" w:ascii="宋体" w:hAnsi="宋体" w:eastAsia="宋体" w:cs="宋体"/>
                <w:kern w:val="0"/>
                <w:szCs w:val="21"/>
              </w:rPr>
              <w:t>7.整机内置扬声器采用缝隙发声技术，缝隙宽度≦6mm。</w:t>
            </w:r>
            <w:r>
              <w:rPr>
                <w:rFonts w:hint="eastAsia" w:ascii="宋体" w:hAnsi="宋体" w:eastAsia="宋体" w:cs="宋体"/>
                <w:kern w:val="0"/>
                <w:szCs w:val="21"/>
              </w:rPr>
              <w:br w:type="textWrapping"/>
            </w:r>
            <w:r>
              <w:rPr>
                <w:rFonts w:hint="eastAsia" w:ascii="宋体" w:hAnsi="宋体" w:eastAsia="宋体" w:cs="宋体"/>
                <w:kern w:val="0"/>
                <w:szCs w:val="21"/>
              </w:rPr>
              <w:t>8.光学胶全贴合技术:整机显示屏幕贴合方式采用全贴合工艺，减少显示面板与玻璃间的偏光、散射，画面显示更加清晰通透、可视角度更广。</w:t>
            </w:r>
            <w:r>
              <w:rPr>
                <w:rFonts w:hint="eastAsia" w:ascii="宋体" w:hAnsi="宋体" w:eastAsia="宋体" w:cs="宋体"/>
                <w:kern w:val="0"/>
                <w:szCs w:val="21"/>
              </w:rPr>
              <w:br w:type="textWrapping"/>
            </w:r>
            <w:r>
              <w:rPr>
                <w:rFonts w:hint="eastAsia" w:ascii="宋体" w:hAnsi="宋体" w:eastAsia="宋体" w:cs="宋体"/>
                <w:kern w:val="0"/>
                <w:szCs w:val="21"/>
              </w:rPr>
              <w:t>9.整机屏幕保护玻璃与显示液晶屏组件，在结构上通过光学胶完全贴合在一起，中间贴合层无空气介质。</w:t>
            </w:r>
            <w:r>
              <w:rPr>
                <w:rFonts w:hint="eastAsia" w:ascii="宋体" w:hAnsi="宋体" w:eastAsia="宋体" w:cs="宋体"/>
                <w:kern w:val="0"/>
                <w:szCs w:val="21"/>
              </w:rPr>
              <w:br w:type="textWrapping"/>
            </w:r>
            <w:r>
              <w:rPr>
                <w:rFonts w:hint="eastAsia" w:ascii="宋体" w:hAnsi="宋体" w:eastAsia="宋体" w:cs="宋体"/>
                <w:kern w:val="0"/>
                <w:szCs w:val="21"/>
              </w:rPr>
              <w:t>10.设备支持≥5个自定义前置按键，“设置”、“音量-”，“音量+”，“录屏”“护眼”按键，可通过自定义设置实现前置面板功能按键一键启用任一全局小工具（批注、截屏、计时、降半屏、放大镜、倒数日、日历等相关模式）、快捷开关（节能模式、纸质护眼模式、经典护眼模式、自动亮度模式等相关模式）。</w:t>
            </w:r>
            <w:r>
              <w:rPr>
                <w:rFonts w:hint="eastAsia" w:ascii="宋体" w:hAnsi="宋体" w:eastAsia="宋体" w:cs="宋体"/>
                <w:kern w:val="0"/>
                <w:szCs w:val="21"/>
              </w:rPr>
              <w:br w:type="textWrapping"/>
            </w:r>
            <w:r>
              <w:rPr>
                <w:rFonts w:hint="eastAsia" w:ascii="宋体" w:hAnsi="宋体" w:eastAsia="宋体" w:cs="宋体"/>
                <w:kern w:val="0"/>
                <w:szCs w:val="21"/>
              </w:rPr>
              <w:t>11.支持纸质护眼模式，在任意通道任意画面任意软件所在显示内容下可实时调整画面纹理。画面纹理的类型有牛皮纸、素描纸、宣纸、水彩纸、水纹纸。同时支持色温调节和透明度调节。</w:t>
            </w:r>
            <w:r>
              <w:rPr>
                <w:rFonts w:hint="eastAsia" w:ascii="宋体" w:hAnsi="宋体" w:eastAsia="宋体" w:cs="宋体"/>
                <w:kern w:val="0"/>
                <w:szCs w:val="21"/>
              </w:rPr>
              <w:br w:type="textWrapping"/>
            </w:r>
            <w:r>
              <w:rPr>
                <w:rFonts w:hint="eastAsia" w:ascii="宋体" w:hAnsi="宋体" w:eastAsia="宋体" w:cs="宋体"/>
                <w:kern w:val="0"/>
                <w:szCs w:val="21"/>
              </w:rPr>
              <w:t>12.纸质护眼模式下，显示画面各像素点灰度不规则，减少背景干扰。</w:t>
            </w:r>
            <w:r>
              <w:rPr>
                <w:rFonts w:hint="eastAsia" w:ascii="宋体" w:hAnsi="宋体" w:eastAsia="宋体" w:cs="宋体"/>
                <w:kern w:val="0"/>
                <w:szCs w:val="21"/>
              </w:rPr>
              <w:br w:type="textWrapping"/>
            </w:r>
            <w:r>
              <w:rPr>
                <w:rFonts w:hint="eastAsia" w:ascii="宋体" w:hAnsi="宋体" w:eastAsia="宋体" w:cs="宋体"/>
                <w:kern w:val="0"/>
                <w:szCs w:val="21"/>
              </w:rPr>
              <w:t>13.整机具备≥6个前置按键。支持通过前置按键进行开关机、调出中控菜单、音量+/-、护眼、录屏的操作。</w:t>
            </w:r>
            <w:r>
              <w:rPr>
                <w:rFonts w:hint="eastAsia" w:ascii="宋体" w:hAnsi="宋体" w:eastAsia="宋体" w:cs="宋体"/>
                <w:kern w:val="0"/>
                <w:szCs w:val="21"/>
              </w:rPr>
              <w:br w:type="textWrapping"/>
            </w:r>
            <w:r>
              <w:rPr>
                <w:rFonts w:hint="eastAsia" w:ascii="宋体" w:hAnsi="宋体" w:eastAsia="宋体" w:cs="宋体"/>
                <w:kern w:val="0"/>
                <w:szCs w:val="21"/>
              </w:rPr>
              <w:t>14.支持经典护眼模式，可通过前置面板物理功能按键一键启用经典护眼模式。</w:t>
            </w:r>
            <w:r>
              <w:rPr>
                <w:rFonts w:hint="eastAsia" w:ascii="宋体" w:hAnsi="宋体" w:eastAsia="宋体" w:cs="宋体"/>
                <w:kern w:val="0"/>
                <w:szCs w:val="21"/>
              </w:rPr>
              <w:br w:type="textWrapping"/>
            </w:r>
            <w:r>
              <w:rPr>
                <w:rFonts w:hint="eastAsia" w:ascii="宋体" w:hAnsi="宋体" w:eastAsia="宋体" w:cs="宋体"/>
                <w:kern w:val="0"/>
                <w:szCs w:val="21"/>
              </w:rPr>
              <w:t>15.支持自定义前置“设置"按键，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kern w:val="0"/>
                <w:szCs w:val="21"/>
              </w:rPr>
              <w:br w:type="textWrapping"/>
            </w:r>
            <w:r>
              <w:rPr>
                <w:rFonts w:hint="eastAsia" w:ascii="宋体" w:hAnsi="宋体" w:eastAsia="宋体" w:cs="宋体"/>
                <w:kern w:val="0"/>
                <w:szCs w:val="21"/>
              </w:rPr>
              <w:t>16.整机支持蓝牙标准≥Bluetooth 5.2。</w:t>
            </w:r>
            <w:r>
              <w:rPr>
                <w:rFonts w:hint="eastAsia" w:ascii="宋体" w:hAnsi="宋体" w:eastAsia="宋体" w:cs="宋体"/>
                <w:kern w:val="0"/>
                <w:szCs w:val="21"/>
              </w:rPr>
              <w:br w:type="textWrapping"/>
            </w:r>
            <w:r>
              <w:rPr>
                <w:rFonts w:hint="eastAsia" w:ascii="宋体" w:hAnsi="宋体" w:eastAsia="宋体" w:cs="宋体"/>
                <w:kern w:val="0"/>
                <w:szCs w:val="21"/>
              </w:rPr>
              <w:t>17.Wi-Fi制式支持802.11 a/b/g/n/ac/ax；支持Wi-Fi6版本。</w:t>
            </w:r>
            <w:r>
              <w:rPr>
                <w:rFonts w:hint="eastAsia" w:ascii="宋体" w:hAnsi="宋体" w:eastAsia="宋体" w:cs="宋体"/>
                <w:kern w:val="0"/>
                <w:szCs w:val="21"/>
              </w:rPr>
              <w:br w:type="textWrapping"/>
            </w:r>
            <w:r>
              <w:rPr>
                <w:rFonts w:hint="eastAsia" w:ascii="宋体" w:hAnsi="宋体" w:eastAsia="宋体" w:cs="宋体"/>
                <w:kern w:val="0"/>
                <w:szCs w:val="21"/>
              </w:rPr>
              <w:t>18.整机内置非独立摄像头，可拍摄≥1600万像素数的照片，支持输出≥4K。</w:t>
            </w:r>
            <w:r>
              <w:rPr>
                <w:rFonts w:hint="eastAsia" w:ascii="宋体" w:hAnsi="宋体" w:eastAsia="宋体" w:cs="宋体"/>
                <w:kern w:val="0"/>
                <w:szCs w:val="21"/>
              </w:rPr>
              <w:br w:type="textWrapping"/>
            </w:r>
            <w:r>
              <w:rPr>
                <w:rFonts w:hint="eastAsia" w:ascii="宋体" w:hAnsi="宋体" w:eastAsia="宋体" w:cs="宋体"/>
                <w:kern w:val="0"/>
                <w:szCs w:val="21"/>
              </w:rPr>
              <w:t>19.整机支持输出摄像头视场角≥135度，水平视场角≥120度画面。</w:t>
            </w:r>
            <w:r>
              <w:rPr>
                <w:rFonts w:hint="eastAsia" w:ascii="宋体" w:hAnsi="宋体" w:eastAsia="宋体" w:cs="宋体"/>
                <w:kern w:val="0"/>
                <w:szCs w:val="21"/>
              </w:rPr>
              <w:br w:type="textWrapping"/>
            </w:r>
            <w:r>
              <w:rPr>
                <w:rFonts w:hint="eastAsia" w:ascii="宋体" w:hAnsi="宋体" w:eastAsia="宋体" w:cs="宋体"/>
                <w:kern w:val="0"/>
                <w:szCs w:val="21"/>
              </w:rPr>
              <w:t>20.整机内置非独立的高清摄像头，可用于远程巡课，可AI识别人像，人像识别距离≥10米。</w:t>
            </w:r>
            <w:r>
              <w:rPr>
                <w:rFonts w:hint="eastAsia" w:ascii="宋体" w:hAnsi="宋体" w:eastAsia="宋体" w:cs="宋体"/>
                <w:kern w:val="0"/>
                <w:szCs w:val="21"/>
              </w:rPr>
              <w:br w:type="textWrapping"/>
            </w:r>
            <w:r>
              <w:rPr>
                <w:rFonts w:hint="eastAsia" w:ascii="宋体" w:hAnsi="宋体" w:eastAsia="宋体" w:cs="宋体"/>
                <w:kern w:val="0"/>
                <w:szCs w:val="21"/>
              </w:rPr>
              <w:t>21.整机摄像头支持人脸识别、快速点人数、随机抽人，可识别镜头前的所有学生，并显示人脸标记、随机抽选。支持同时显示标记≥60人。</w:t>
            </w:r>
            <w:r>
              <w:rPr>
                <w:rFonts w:hint="eastAsia" w:ascii="宋体" w:hAnsi="宋体" w:eastAsia="宋体" w:cs="宋体"/>
                <w:kern w:val="0"/>
                <w:szCs w:val="21"/>
              </w:rPr>
              <w:br w:type="textWrapping"/>
            </w:r>
            <w:r>
              <w:rPr>
                <w:rFonts w:hint="eastAsia" w:ascii="宋体" w:hAnsi="宋体" w:eastAsia="宋体" w:cs="宋体"/>
                <w:kern w:val="0"/>
                <w:szCs w:val="21"/>
              </w:rPr>
              <w:t>22.整机系统支持书写触控延迟≦25ms</w:t>
            </w:r>
            <w:r>
              <w:rPr>
                <w:rFonts w:hint="eastAsia" w:ascii="宋体" w:hAnsi="宋体" w:eastAsia="宋体" w:cs="宋体"/>
                <w:kern w:val="0"/>
                <w:szCs w:val="21"/>
              </w:rPr>
              <w:br w:type="textWrapping"/>
            </w:r>
            <w:r>
              <w:rPr>
                <w:rFonts w:hint="eastAsia" w:ascii="宋体" w:hAnsi="宋体" w:eastAsia="宋体" w:cs="宋体"/>
                <w:kern w:val="0"/>
                <w:szCs w:val="21"/>
              </w:rPr>
              <w:t>23.整机摄像头支持环境色温判断，根据环境调节合适的显示图像效果。</w:t>
            </w:r>
            <w:r>
              <w:rPr>
                <w:rFonts w:hint="eastAsia" w:ascii="宋体" w:hAnsi="宋体" w:eastAsia="宋体" w:cs="宋体"/>
                <w:kern w:val="0"/>
                <w:szCs w:val="21"/>
              </w:rPr>
              <w:br w:type="textWrapping"/>
            </w:r>
            <w:r>
              <w:rPr>
                <w:rFonts w:hint="eastAsia" w:ascii="宋体" w:hAnsi="宋体" w:eastAsia="宋体" w:cs="宋体"/>
                <w:kern w:val="0"/>
                <w:szCs w:val="21"/>
              </w:rPr>
              <w:t>24.整机设备开机启动后，自动进入教学桌面，支持账号登录、退出，自动获取个人云端教学课件列表，并可进入全部课件列表。</w:t>
            </w:r>
            <w:r>
              <w:rPr>
                <w:rFonts w:hint="eastAsia" w:ascii="宋体" w:hAnsi="宋体" w:eastAsia="宋体" w:cs="宋体"/>
                <w:kern w:val="0"/>
                <w:szCs w:val="21"/>
              </w:rPr>
              <w:br w:type="textWrapping"/>
            </w:r>
            <w:r>
              <w:rPr>
                <w:rFonts w:hint="eastAsia" w:ascii="宋体" w:hAnsi="宋体" w:eastAsia="宋体" w:cs="宋体"/>
                <w:kern w:val="0"/>
                <w:szCs w:val="21"/>
              </w:rPr>
              <w:t>25.整机采用防眩光玻璃，屏幕支持防眩光功能。采用全物理钢化玻璃，有效保护屏幕显示画面。</w:t>
            </w:r>
            <w:r>
              <w:rPr>
                <w:rFonts w:hint="eastAsia" w:ascii="宋体" w:hAnsi="宋体" w:eastAsia="宋体" w:cs="宋体"/>
                <w:kern w:val="0"/>
                <w:szCs w:val="21"/>
              </w:rPr>
              <w:br w:type="textWrapping"/>
            </w:r>
            <w:r>
              <w:rPr>
                <w:rFonts w:hint="eastAsia" w:ascii="宋体" w:hAnsi="宋体" w:eastAsia="宋体" w:cs="宋体"/>
                <w:kern w:val="0"/>
                <w:szCs w:val="21"/>
              </w:rPr>
              <w:t>26.整机支持色彩空间可选，包含标准模式和sRGB模式，在sRGB模式下可做到高色准△E1.5。</w:t>
            </w:r>
            <w:r>
              <w:rPr>
                <w:rFonts w:hint="eastAsia" w:ascii="宋体" w:hAnsi="宋体" w:eastAsia="宋体" w:cs="宋体"/>
                <w:kern w:val="0"/>
                <w:szCs w:val="21"/>
              </w:rPr>
              <w:br w:type="textWrapping"/>
            </w:r>
            <w:r>
              <w:rPr>
                <w:rFonts w:hint="eastAsia" w:ascii="宋体" w:hAnsi="宋体" w:eastAsia="宋体" w:cs="宋体"/>
                <w:kern w:val="0"/>
                <w:szCs w:val="21"/>
              </w:rPr>
              <w:t>27.≥CPUIntel  I5十一代性能配置，内存≥ 8GB DDR4。硬盘≥256GB SSD固态硬盘，和整机的连接采用万兆级接口，传输速率≥10Gbps。采用按压式卡扣，无需工具就可快速拆卸电脑模块。</w:t>
            </w:r>
            <w:r>
              <w:rPr>
                <w:rFonts w:hint="eastAsia" w:ascii="宋体" w:hAnsi="宋体" w:eastAsia="宋体" w:cs="宋体"/>
                <w:kern w:val="0"/>
                <w:szCs w:val="21"/>
              </w:rPr>
              <w:br w:type="textWrapping"/>
            </w:r>
            <w:r>
              <w:rPr>
                <w:rFonts w:hint="eastAsia" w:ascii="宋体" w:hAnsi="宋体" w:eastAsia="宋体" w:cs="宋体"/>
                <w:kern w:val="0"/>
                <w:szCs w:val="21"/>
              </w:rPr>
              <w:t>二、多媒体课件制作展示软件功能</w:t>
            </w:r>
            <w:r>
              <w:rPr>
                <w:rFonts w:hint="eastAsia" w:ascii="宋体" w:hAnsi="宋体" w:eastAsia="宋体" w:cs="宋体"/>
                <w:kern w:val="0"/>
                <w:szCs w:val="21"/>
              </w:rPr>
              <w:br w:type="textWrapping"/>
            </w:r>
            <w:r>
              <w:rPr>
                <w:rFonts w:hint="eastAsia" w:ascii="宋体" w:hAnsi="宋体" w:eastAsia="宋体" w:cs="宋体"/>
                <w:kern w:val="0"/>
                <w:szCs w:val="21"/>
              </w:rPr>
              <w:t>1.为教师提供可扩展，易于学校管理，安全可靠的云存储空间。</w:t>
            </w:r>
            <w:r>
              <w:rPr>
                <w:rFonts w:hint="eastAsia" w:ascii="宋体" w:hAnsi="宋体" w:eastAsia="宋体" w:cs="宋体"/>
                <w:kern w:val="0"/>
                <w:szCs w:val="21"/>
              </w:rPr>
              <w:br w:type="textWrapping"/>
            </w:r>
            <w:r>
              <w:rPr>
                <w:rFonts w:hint="eastAsia" w:ascii="宋体" w:hAnsi="宋体" w:eastAsia="宋体" w:cs="宋体"/>
                <w:kern w:val="0"/>
                <w:szCs w:val="21"/>
              </w:rPr>
              <w:t>2.为使用方全体教师配备个人账号，形成一体的信息化教学账号体系；根据教师账号信息将教师云空间匹配至对应学校、学科校本资源库。支持通过数字账号、微信二维码、硬件密钥方式登录教师个人账号。</w:t>
            </w:r>
            <w:r>
              <w:rPr>
                <w:rFonts w:hint="eastAsia" w:ascii="宋体" w:hAnsi="宋体" w:eastAsia="宋体" w:cs="宋体"/>
                <w:kern w:val="0"/>
                <w:szCs w:val="21"/>
              </w:rPr>
              <w:br w:type="textWrapping"/>
            </w:r>
            <w:r>
              <w:rPr>
                <w:rFonts w:hint="eastAsia" w:ascii="宋体" w:hAnsi="宋体" w:eastAsia="宋体" w:cs="宋体"/>
                <w:kern w:val="0"/>
                <w:szCs w:val="21"/>
              </w:rPr>
              <w:t>3.互动教学课件支持定向精准分享:分享者可将互动课件、课件组精准推送至指定接收方账号云空间，接收方可在云空间接收并打开分享课件。</w:t>
            </w:r>
            <w:r>
              <w:rPr>
                <w:rFonts w:hint="eastAsia" w:ascii="宋体" w:hAnsi="宋体" w:eastAsia="宋体" w:cs="宋体"/>
                <w:kern w:val="0"/>
                <w:szCs w:val="21"/>
              </w:rPr>
              <w:br w:type="textWrapping"/>
            </w:r>
            <w:r>
              <w:rPr>
                <w:rFonts w:hint="eastAsia" w:ascii="宋体" w:hAnsi="宋体" w:eastAsia="宋体" w:cs="宋体"/>
                <w:kern w:val="0"/>
                <w:szCs w:val="21"/>
              </w:rPr>
              <w:t>4.接收方通过web链接或二维码的课件分享入口可预览互动课件内容并可触控课件互动元素，并能将互动课件转存至个人云空间，登陆云空间即可接收并打开互动课件。</w:t>
            </w:r>
            <w:r>
              <w:rPr>
                <w:rFonts w:hint="eastAsia" w:ascii="宋体" w:hAnsi="宋体" w:eastAsia="宋体" w:cs="宋体"/>
                <w:kern w:val="0"/>
                <w:szCs w:val="21"/>
              </w:rPr>
              <w:br w:type="textWrapping"/>
            </w:r>
            <w:r>
              <w:rPr>
                <w:rFonts w:hint="eastAsia" w:ascii="宋体" w:hAnsi="宋体" w:eastAsia="宋体" w:cs="宋体"/>
                <w:kern w:val="0"/>
                <w:szCs w:val="21"/>
              </w:rPr>
              <w:t>5.互动课件内容的编辑修改无需人为保存即可自动同步至云空间，可根据教师需要调整云空间自动同步的时间间隔，避免教学资源的损坏、遗失。</w:t>
            </w:r>
            <w:r>
              <w:rPr>
                <w:rFonts w:hint="eastAsia" w:ascii="宋体" w:hAnsi="宋体" w:eastAsia="宋体" w:cs="宋体"/>
                <w:kern w:val="0"/>
                <w:szCs w:val="21"/>
              </w:rPr>
              <w:br w:type="textWrapping"/>
            </w:r>
            <w:r>
              <w:rPr>
                <w:rFonts w:hint="eastAsia" w:ascii="宋体" w:hAnsi="宋体" w:eastAsia="宋体" w:cs="宋体"/>
                <w:kern w:val="0"/>
                <w:szCs w:val="21"/>
              </w:rPr>
              <w:t>6.编辑多份互动课件时，教师可一键将所有处于编辑状态的课件同步到互动课件云空间。</w:t>
            </w:r>
            <w:r>
              <w:rPr>
                <w:rFonts w:hint="eastAsia" w:ascii="宋体" w:hAnsi="宋体" w:eastAsia="宋体" w:cs="宋体"/>
                <w:kern w:val="0"/>
                <w:szCs w:val="21"/>
              </w:rPr>
              <w:br w:type="textWrapping"/>
            </w:r>
            <w:r>
              <w:rPr>
                <w:rFonts w:hint="eastAsia" w:ascii="宋体" w:hAnsi="宋体" w:eastAsia="宋体" w:cs="宋体"/>
                <w:kern w:val="0"/>
                <w:szCs w:val="21"/>
              </w:rPr>
              <w:t>7.内置图片处理功能，无需借助专业图片处理软件即可对课件内的图片进行快速抠图，图片主体处理后边缘无明显毛边，且处理后的图片可直接上传至教师云空间供后续复用。</w:t>
            </w:r>
            <w:r>
              <w:rPr>
                <w:rFonts w:hint="eastAsia" w:ascii="宋体" w:hAnsi="宋体" w:eastAsia="宋体" w:cs="宋体"/>
                <w:kern w:val="0"/>
                <w:szCs w:val="21"/>
              </w:rPr>
              <w:br w:type="textWrapping"/>
            </w:r>
            <w:r>
              <w:rPr>
                <w:rFonts w:hint="eastAsia" w:ascii="宋体" w:hAnsi="宋体" w:eastAsia="宋体" w:cs="宋体"/>
                <w:kern w:val="0"/>
                <w:szCs w:val="21"/>
              </w:rPr>
              <w:t>8.具备图形自由创作工具，教师可自由绘制复杂的任意多边图形及曲边图形；教师自主创作的图形可直接在备课界面下存储至个人云空间，无需导出转存，便于后续使用。</w:t>
            </w:r>
            <w:r>
              <w:rPr>
                <w:rFonts w:hint="eastAsia" w:ascii="宋体" w:hAnsi="宋体" w:eastAsia="宋体" w:cs="宋体"/>
                <w:kern w:val="0"/>
                <w:szCs w:val="21"/>
              </w:rPr>
              <w:br w:type="textWrapping"/>
            </w:r>
            <w:r>
              <w:rPr>
                <w:rFonts w:hint="eastAsia" w:ascii="宋体" w:hAnsi="宋体" w:eastAsia="宋体" w:cs="宋体"/>
                <w:kern w:val="0"/>
                <w:szCs w:val="21"/>
              </w:rPr>
              <w:t xml:space="preserve">9.支持对音频、视频文件进行关键帧标记，可在音、视频进度条任意位置自由设置关键帧播放节点，便于快速定位讲解关键教学内容。 </w:t>
            </w:r>
            <w:r>
              <w:rPr>
                <w:rFonts w:hint="eastAsia" w:ascii="宋体" w:hAnsi="宋体" w:eastAsia="宋体" w:cs="宋体"/>
                <w:kern w:val="0"/>
                <w:szCs w:val="21"/>
              </w:rPr>
              <w:br w:type="textWrapping"/>
            </w:r>
            <w:r>
              <w:rPr>
                <w:rFonts w:hint="eastAsia" w:ascii="宋体" w:hAnsi="宋体" w:eastAsia="宋体" w:cs="宋体"/>
                <w:kern w:val="0"/>
                <w:szCs w:val="21"/>
              </w:rPr>
              <w:t>10.具备交互表格功能，课件可自由插入表格；表格支持自由输入文本，且根据文本内容可一键自动调整行列宽高；表格通过表格首行首列交接处的按键可一键精准增加行列；具备遮罩功能，授课模式点击即可取消遮罩，便于教师交互式教学</w:t>
            </w:r>
            <w:r>
              <w:rPr>
                <w:rFonts w:hint="eastAsia" w:ascii="宋体" w:hAnsi="宋体" w:eastAsia="宋体" w:cs="宋体"/>
                <w:kern w:val="0"/>
                <w:szCs w:val="21"/>
              </w:rPr>
              <w:br w:type="textWrapping"/>
            </w:r>
            <w:r>
              <w:rPr>
                <w:rFonts w:hint="eastAsia" w:ascii="宋体" w:hAnsi="宋体" w:eastAsia="宋体" w:cs="宋体"/>
                <w:kern w:val="0"/>
                <w:szCs w:val="21"/>
              </w:rPr>
              <w:t>11.提供柱状图、折线图等互动图表，每类图表预置不少于四种样式，支持图表文字、背景、透明度设置；柱状图、折线图可一键转置互换坐标轴类别；图表支持三维模式旋转展示，生动形象。</w:t>
            </w:r>
            <w:r>
              <w:rPr>
                <w:rFonts w:hint="eastAsia" w:ascii="宋体" w:hAnsi="宋体" w:eastAsia="宋体" w:cs="宋体"/>
                <w:kern w:val="0"/>
                <w:szCs w:val="21"/>
              </w:rPr>
              <w:br w:type="textWrapping"/>
            </w:r>
            <w:r>
              <w:rPr>
                <w:rFonts w:hint="eastAsia" w:ascii="宋体" w:hAnsi="宋体" w:eastAsia="宋体" w:cs="宋体"/>
                <w:kern w:val="0"/>
                <w:szCs w:val="21"/>
              </w:rPr>
              <w:t>12.平面几何工具:可自由绘制线条、线段及射线；可自由绘制任意边数及角度的图形，自动显示内角角度，支持编辑内角角度对图形进行精细调整，提供具有智能吸附的辅助线工具，教师可快速自由绘制所需辅助线。同类几何体相互靠近时，可智能识别吸附。</w:t>
            </w:r>
            <w:r>
              <w:rPr>
                <w:rFonts w:hint="eastAsia" w:ascii="宋体" w:hAnsi="宋体" w:eastAsia="宋体" w:cs="宋体"/>
                <w:kern w:val="0"/>
                <w:szCs w:val="21"/>
              </w:rPr>
              <w:br w:type="textWrapping"/>
            </w:r>
            <w:r>
              <w:rPr>
                <w:rFonts w:hint="eastAsia" w:ascii="宋体" w:hAnsi="宋体" w:eastAsia="宋体" w:cs="宋体"/>
                <w:kern w:val="0"/>
                <w:szCs w:val="21"/>
              </w:rPr>
              <w:t>13.所有实验内容都可以支持在实验操作的过程中查看具体的实验内容简介，可查看的内容简介至少应包含:实验目的、实验器材、实验步骤等，方便老师在使用中快速了解具体实验内容，提高老师课堂教学效率。所有学科软件要求提供的实验内容模块需根据知识点分类。</w:t>
            </w:r>
            <w:r>
              <w:rPr>
                <w:rFonts w:hint="eastAsia" w:ascii="宋体" w:hAnsi="宋体" w:eastAsia="宋体" w:cs="宋体"/>
                <w:kern w:val="0"/>
                <w:szCs w:val="21"/>
              </w:rPr>
              <w:br w:type="textWrapping"/>
            </w:r>
            <w:r>
              <w:rPr>
                <w:rFonts w:hint="eastAsia" w:ascii="宋体" w:hAnsi="宋体" w:eastAsia="宋体" w:cs="宋体"/>
                <w:kern w:val="0"/>
                <w:szCs w:val="21"/>
              </w:rPr>
              <w:t>14.空中课堂功能内置于交互式备授课软件中，无需额外安装部署直播软件，可实现语音直播、课件同步、互动工具等远程教学功能,教师可一键开课生成课程海报.</w:t>
            </w:r>
            <w:r>
              <w:rPr>
                <w:rFonts w:hint="eastAsia" w:ascii="宋体" w:hAnsi="宋体" w:eastAsia="宋体" w:cs="宋体"/>
                <w:kern w:val="0"/>
                <w:szCs w:val="21"/>
              </w:rPr>
              <w:br w:type="textWrapping"/>
            </w:r>
            <w:r>
              <w:rPr>
                <w:rFonts w:hint="eastAsia" w:ascii="宋体" w:hAnsi="宋体" w:eastAsia="宋体" w:cs="宋体"/>
                <w:kern w:val="0"/>
                <w:szCs w:val="21"/>
              </w:rPr>
              <w:t>三、设备运维管理软件</w:t>
            </w:r>
            <w:r>
              <w:rPr>
                <w:rFonts w:hint="eastAsia" w:ascii="宋体" w:hAnsi="宋体" w:eastAsia="宋体" w:cs="宋体"/>
                <w:kern w:val="0"/>
                <w:szCs w:val="21"/>
              </w:rPr>
              <w:br w:type="textWrapping"/>
            </w:r>
            <w:r>
              <w:rPr>
                <w:rFonts w:hint="eastAsia" w:ascii="宋体" w:hAnsi="宋体" w:eastAsia="宋体" w:cs="宋体"/>
                <w:kern w:val="0"/>
                <w:szCs w:val="21"/>
              </w:rPr>
              <w:t>1.支持创设系统还原点，实现磁盘级的系统还原保护，可根据教学需要自由选择磁盘分区设立还原点、取消还原点</w:t>
            </w:r>
            <w:r>
              <w:rPr>
                <w:rFonts w:hint="eastAsia" w:ascii="宋体" w:hAnsi="宋体" w:eastAsia="宋体" w:cs="宋体"/>
                <w:kern w:val="0"/>
                <w:szCs w:val="21"/>
              </w:rPr>
              <w:br w:type="textWrapping"/>
            </w:r>
            <w:r>
              <w:rPr>
                <w:rFonts w:hint="eastAsia" w:ascii="宋体" w:hAnsi="宋体" w:eastAsia="宋体" w:cs="宋体"/>
                <w:kern w:val="0"/>
                <w:szCs w:val="21"/>
              </w:rPr>
              <w:t>2.支持对外接移动存储设备进行病毒检查，可根据教学行为选择即时杀毒、定期查杀病毒，确保教学安全。</w:t>
            </w:r>
            <w:r>
              <w:rPr>
                <w:rFonts w:hint="eastAsia" w:ascii="宋体" w:hAnsi="宋体" w:eastAsia="宋体" w:cs="宋体"/>
                <w:kern w:val="0"/>
                <w:szCs w:val="21"/>
              </w:rPr>
              <w:br w:type="textWrapping"/>
            </w:r>
            <w:r>
              <w:rPr>
                <w:rFonts w:hint="eastAsia" w:ascii="宋体" w:hAnsi="宋体" w:eastAsia="宋体" w:cs="宋体"/>
                <w:kern w:val="0"/>
                <w:szCs w:val="21"/>
              </w:rPr>
              <w:t>3.病毒库提供针对Zip,RAR，PDF等30余种教学常用文件格式的扫描，病毒特征库包含≥300万个病毒的特征码，可侦测到携带勒索病毒的软件和文件，支持在线实时更新。</w:t>
            </w:r>
            <w:r>
              <w:rPr>
                <w:rFonts w:hint="eastAsia" w:ascii="宋体" w:hAnsi="宋体" w:eastAsia="宋体" w:cs="宋体"/>
                <w:kern w:val="0"/>
                <w:szCs w:val="21"/>
              </w:rPr>
              <w:br w:type="textWrapping"/>
            </w:r>
            <w:r>
              <w:rPr>
                <w:rFonts w:hint="eastAsia" w:ascii="宋体" w:hAnsi="宋体" w:eastAsia="宋体" w:cs="宋体"/>
                <w:kern w:val="0"/>
                <w:szCs w:val="21"/>
              </w:rPr>
              <w:t>4.支持对系统盘进行垃圾清理、大文件迁移，释放系统盘空间占用，提升设备运行速度。</w:t>
            </w:r>
            <w:r>
              <w:rPr>
                <w:rFonts w:hint="eastAsia" w:ascii="宋体" w:hAnsi="宋体" w:eastAsia="宋体" w:cs="宋体"/>
                <w:kern w:val="0"/>
                <w:szCs w:val="21"/>
              </w:rPr>
              <w:br w:type="textWrapping"/>
            </w:r>
            <w:r>
              <w:rPr>
                <w:rFonts w:hint="eastAsia" w:ascii="宋体" w:hAnsi="宋体" w:eastAsia="宋体" w:cs="宋体"/>
                <w:kern w:val="0"/>
                <w:szCs w:val="21"/>
              </w:rPr>
              <w:t>5.支持对软件应用弹窗进行无差别拦截，可自定义自动拦截、手动点选拦截，保证教学过程中无干扰。</w:t>
            </w:r>
            <w:r>
              <w:rPr>
                <w:rFonts w:hint="eastAsia" w:ascii="宋体" w:hAnsi="宋体" w:eastAsia="宋体" w:cs="宋体"/>
                <w:kern w:val="0"/>
                <w:szCs w:val="21"/>
              </w:rPr>
              <w:br w:type="textWrapping"/>
            </w:r>
            <w:r>
              <w:rPr>
                <w:rFonts w:hint="eastAsia" w:ascii="宋体" w:hAnsi="宋体" w:eastAsia="宋体" w:cs="宋体"/>
                <w:kern w:val="0"/>
                <w:szCs w:val="21"/>
              </w:rPr>
              <w:t>6.支持多层级权限管理，可将多类型的设备管理权限分配给多个管理员共同管理；高级管理员可添加普通管理员并修改普通管理员的权限，权限支持按页面功能模块管理、按设备分组管理。</w:t>
            </w:r>
            <w:r>
              <w:rPr>
                <w:rFonts w:hint="eastAsia" w:ascii="宋体" w:hAnsi="宋体" w:eastAsia="宋体" w:cs="宋体"/>
                <w:kern w:val="0"/>
                <w:szCs w:val="21"/>
              </w:rPr>
              <w:br w:type="textWrapping"/>
            </w:r>
            <w:r>
              <w:rPr>
                <w:rFonts w:hint="eastAsia" w:ascii="宋体" w:hAnsi="宋体" w:eastAsia="宋体" w:cs="宋体"/>
                <w:kern w:val="0"/>
                <w:szCs w:val="21"/>
              </w:rPr>
              <w:t>7.支持远程实时控制设备，可监测设备当前运行界面，并远程操作设备界面，适用于远程维护和修复设备软件问题</w:t>
            </w:r>
            <w:r>
              <w:rPr>
                <w:rFonts w:hint="eastAsia" w:ascii="宋体" w:hAnsi="宋体" w:eastAsia="宋体" w:cs="宋体"/>
                <w:kern w:val="0"/>
                <w:szCs w:val="21"/>
              </w:rPr>
              <w:br w:type="textWrapping"/>
            </w:r>
            <w:r>
              <w:rPr>
                <w:rFonts w:hint="eastAsia" w:ascii="宋体" w:hAnsi="宋体" w:eastAsia="宋体" w:cs="宋体"/>
                <w:kern w:val="0"/>
                <w:szCs w:val="21"/>
              </w:rPr>
              <w:t>8.支持导出某月的设备使用情况详细数据分析表格，便于自行分析以及呈报工作业绩</w:t>
            </w:r>
            <w:r>
              <w:rPr>
                <w:rFonts w:hint="eastAsia" w:ascii="宋体" w:hAnsi="宋体" w:eastAsia="宋体" w:cs="宋体"/>
                <w:kern w:val="0"/>
                <w:szCs w:val="21"/>
              </w:rPr>
              <w:br w:type="textWrapping"/>
            </w:r>
            <w:r>
              <w:rPr>
                <w:rFonts w:hint="eastAsia" w:ascii="宋体" w:hAnsi="宋体" w:eastAsia="宋体" w:cs="宋体"/>
                <w:kern w:val="0"/>
                <w:szCs w:val="21"/>
              </w:rPr>
              <w:t>9.支持实时统计开启系统还原保护的设备数量、安装系统还原保护的设备总数量、磁盘冻结状态等，并提供冰点风险提示。</w:t>
            </w:r>
            <w:r>
              <w:rPr>
                <w:rFonts w:hint="eastAsia" w:ascii="宋体" w:hAnsi="宋体" w:eastAsia="宋体" w:cs="宋体"/>
                <w:kern w:val="0"/>
                <w:szCs w:val="21"/>
              </w:rPr>
              <w:br w:type="textWrapping"/>
            </w:r>
            <w:r>
              <w:rPr>
                <w:rFonts w:hint="eastAsia" w:ascii="宋体" w:hAnsi="宋体" w:eastAsia="宋体" w:cs="宋体"/>
                <w:kern w:val="0"/>
                <w:szCs w:val="21"/>
              </w:rPr>
              <w:t>10.支持远程对运行状态下的交互智能设备批量设置、解除本地系统启动盘的系统还原点，对已设置系统还原点的设备进行的系统、数据更改无法保留。</w:t>
            </w:r>
            <w:r>
              <w:rPr>
                <w:rFonts w:hint="eastAsia" w:ascii="宋体" w:hAnsi="宋体" w:eastAsia="宋体" w:cs="宋体"/>
                <w:kern w:val="0"/>
                <w:szCs w:val="21"/>
              </w:rPr>
              <w:br w:type="textWrapping"/>
            </w:r>
            <w:r>
              <w:rPr>
                <w:rFonts w:hint="eastAsia" w:ascii="宋体" w:hAnsi="宋体" w:eastAsia="宋体" w:cs="宋体"/>
                <w:kern w:val="0"/>
                <w:szCs w:val="21"/>
              </w:rPr>
              <w:t>11.支持弹窗自动拦截功能的开启或关闭，开启后系统智能嗅探软件应用弹窗并自动屏蔽。后台实时统计弹窗拦截保护的设备数量及历史拦截弹窗总数量。自动统计设备装载的软件应用弹出弹窗的次数，并留存软件应用弹窗界面截图，便于管理者针对性设置弹窗拦截黑\白名单。</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24</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视频展台</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1、壁挂式安装，防盗防破坏。无锐角无利边设计，有效防止师生碰伤、划伤。采用三折叠开合式托板，展开后托板尺寸≥A4面积，收起时小巧不占空间，高效利用挂墙面积。</w:t>
            </w:r>
            <w:r>
              <w:rPr>
                <w:rFonts w:hint="eastAsia" w:ascii="宋体" w:hAnsi="宋体" w:eastAsia="宋体" w:cs="宋体"/>
                <w:kern w:val="0"/>
                <w:szCs w:val="21"/>
              </w:rPr>
              <w:br w:type="textWrapping"/>
            </w:r>
            <w:r>
              <w:rPr>
                <w:rFonts w:hint="eastAsia" w:ascii="宋体" w:hAnsi="宋体" w:eastAsia="宋体" w:cs="宋体"/>
                <w:kern w:val="0"/>
                <w:szCs w:val="21"/>
              </w:rPr>
              <w:t>2、采用无摄像头悬臂设计。</w:t>
            </w:r>
            <w:r>
              <w:rPr>
                <w:rFonts w:hint="eastAsia" w:ascii="宋体" w:hAnsi="宋体" w:eastAsia="宋体" w:cs="宋体"/>
                <w:kern w:val="0"/>
                <w:szCs w:val="21"/>
              </w:rPr>
              <w:br w:type="textWrapping"/>
            </w:r>
            <w:r>
              <w:rPr>
                <w:rFonts w:hint="eastAsia" w:ascii="宋体" w:hAnsi="宋体" w:eastAsia="宋体" w:cs="宋体"/>
                <w:kern w:val="0"/>
                <w:szCs w:val="21"/>
              </w:rPr>
              <w:t>3、支持实时视频矫正功能，拍摄画面无梯形畸变，画面如垂直悬臂拍摄效果。</w:t>
            </w:r>
            <w:r>
              <w:rPr>
                <w:rFonts w:hint="eastAsia" w:ascii="宋体" w:hAnsi="宋体" w:eastAsia="宋体" w:cs="宋体"/>
                <w:kern w:val="0"/>
                <w:szCs w:val="21"/>
              </w:rPr>
              <w:br w:type="textWrapping"/>
            </w:r>
            <w:r>
              <w:rPr>
                <w:rFonts w:hint="eastAsia" w:ascii="宋体" w:hAnsi="宋体" w:eastAsia="宋体" w:cs="宋体"/>
                <w:kern w:val="0"/>
                <w:szCs w:val="21"/>
              </w:rPr>
              <w:t>4、采用USB高速接口，单根USB线实现供电、高清数据传输需求。</w:t>
            </w:r>
            <w:r>
              <w:rPr>
                <w:rFonts w:hint="eastAsia" w:ascii="宋体" w:hAnsi="宋体" w:eastAsia="宋体" w:cs="宋体"/>
                <w:kern w:val="0"/>
                <w:szCs w:val="21"/>
              </w:rPr>
              <w:br w:type="textWrapping"/>
            </w:r>
            <w:r>
              <w:rPr>
                <w:rFonts w:hint="eastAsia" w:ascii="宋体" w:hAnsi="宋体" w:eastAsia="宋体" w:cs="宋体"/>
                <w:kern w:val="0"/>
                <w:szCs w:val="21"/>
              </w:rPr>
              <w:t>5、采用≥1300W像素自动对焦摄像头，可拍摄≥A4画幅。显示视频输出像素≥3840*2160。</w:t>
            </w:r>
            <w:r>
              <w:rPr>
                <w:rFonts w:hint="eastAsia" w:ascii="宋体" w:hAnsi="宋体" w:eastAsia="宋体" w:cs="宋体"/>
                <w:kern w:val="0"/>
                <w:szCs w:val="21"/>
              </w:rPr>
              <w:br w:type="textWrapping"/>
            </w:r>
            <w:r>
              <w:rPr>
                <w:rFonts w:hint="eastAsia" w:ascii="宋体" w:hAnsi="宋体" w:eastAsia="宋体" w:cs="宋体"/>
                <w:kern w:val="0"/>
                <w:szCs w:val="21"/>
              </w:rPr>
              <w:t>6、支持实时降噪功能，并可开关控制。</w:t>
            </w:r>
            <w:r>
              <w:rPr>
                <w:rFonts w:hint="eastAsia" w:ascii="宋体" w:hAnsi="宋体" w:eastAsia="宋体" w:cs="宋体"/>
                <w:kern w:val="0"/>
                <w:szCs w:val="21"/>
              </w:rPr>
              <w:br w:type="textWrapping"/>
            </w:r>
            <w:r>
              <w:rPr>
                <w:rFonts w:hint="eastAsia" w:ascii="宋体" w:hAnsi="宋体" w:eastAsia="宋体" w:cs="宋体"/>
                <w:kern w:val="0"/>
                <w:szCs w:val="21"/>
              </w:rPr>
              <w:t>7、支持通过双击屏幕画面任意位置，即时改变对焦位置，可对立体物体的局部进行对焦。</w:t>
            </w:r>
            <w:r>
              <w:rPr>
                <w:rFonts w:hint="eastAsia" w:ascii="宋体" w:hAnsi="宋体" w:eastAsia="宋体" w:cs="宋体"/>
                <w:kern w:val="0"/>
                <w:szCs w:val="21"/>
              </w:rPr>
              <w:br w:type="textWrapping"/>
            </w:r>
            <w:r>
              <w:rPr>
                <w:rFonts w:hint="eastAsia" w:ascii="宋体" w:hAnsi="宋体" w:eastAsia="宋体" w:cs="宋体"/>
                <w:kern w:val="0"/>
                <w:szCs w:val="21"/>
              </w:rPr>
              <w:t>8、展台按键采用电容式触摸按键，可实现一键启动展台画面、画面放大、画面缩小、画面旋转、拍照截图等功能，同时也支持在展台软件上进行同样的操作。</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25</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无线话筒</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1.无线麦克风集音频发射处理器、天线、电池、拾音麦克风于一体，配合一体化有源音箱，无需任何外接辅助设备即可实现本地扩声功能。</w:t>
            </w:r>
            <w:r>
              <w:rPr>
                <w:rFonts w:hint="eastAsia" w:ascii="宋体" w:hAnsi="宋体" w:eastAsia="宋体" w:cs="宋体"/>
                <w:kern w:val="0"/>
                <w:szCs w:val="21"/>
              </w:rPr>
              <w:br w:type="textWrapping"/>
            </w:r>
            <w:r>
              <w:rPr>
                <w:rFonts w:hint="eastAsia" w:ascii="宋体" w:hAnsi="宋体" w:eastAsia="宋体" w:cs="宋体"/>
                <w:kern w:val="0"/>
                <w:szCs w:val="21"/>
              </w:rPr>
              <w:t>2.采样率≥48KHz，≥16bit；</w:t>
            </w:r>
            <w:r>
              <w:rPr>
                <w:rFonts w:hint="eastAsia" w:ascii="宋体" w:hAnsi="宋体" w:eastAsia="宋体" w:cs="宋体"/>
                <w:kern w:val="0"/>
                <w:szCs w:val="21"/>
              </w:rPr>
              <w:br w:type="textWrapping"/>
            </w:r>
            <w:r>
              <w:rPr>
                <w:rFonts w:hint="eastAsia" w:ascii="宋体" w:hAnsi="宋体" w:eastAsia="宋体" w:cs="宋体"/>
                <w:kern w:val="0"/>
                <w:szCs w:val="21"/>
              </w:rPr>
              <w:t>3.扩音增益≥15dB；</w:t>
            </w:r>
            <w:r>
              <w:rPr>
                <w:rFonts w:hint="eastAsia" w:ascii="宋体" w:hAnsi="宋体" w:eastAsia="宋体" w:cs="宋体"/>
                <w:kern w:val="0"/>
                <w:szCs w:val="21"/>
              </w:rPr>
              <w:br w:type="textWrapping"/>
            </w:r>
            <w:r>
              <w:rPr>
                <w:rFonts w:hint="eastAsia" w:ascii="宋体" w:hAnsi="宋体" w:eastAsia="宋体" w:cs="宋体"/>
                <w:kern w:val="0"/>
                <w:szCs w:val="21"/>
              </w:rPr>
              <w:t>4.声频响150Hz-16kHz，底噪≦200uVrms，声信噪比≦60dB；</w:t>
            </w:r>
            <w:r>
              <w:rPr>
                <w:rFonts w:hint="eastAsia" w:ascii="宋体" w:hAnsi="宋体" w:eastAsia="宋体" w:cs="宋体"/>
                <w:kern w:val="0"/>
                <w:szCs w:val="21"/>
              </w:rPr>
              <w:br w:type="textWrapping"/>
            </w:r>
            <w:r>
              <w:rPr>
                <w:rFonts w:hint="eastAsia" w:ascii="宋体" w:hAnsi="宋体" w:eastAsia="宋体" w:cs="宋体"/>
                <w:kern w:val="0"/>
                <w:szCs w:val="21"/>
              </w:rPr>
              <w:t>5.配合一体化有源音箱，扩音延时≦35ms。</w:t>
            </w:r>
            <w:r>
              <w:rPr>
                <w:rFonts w:hint="eastAsia" w:ascii="宋体" w:hAnsi="宋体" w:eastAsia="宋体" w:cs="宋体"/>
                <w:kern w:val="0"/>
                <w:szCs w:val="21"/>
              </w:rPr>
              <w:br w:type="textWrapping"/>
            </w:r>
            <w:r>
              <w:rPr>
                <w:rFonts w:hint="eastAsia" w:ascii="宋体" w:hAnsi="宋体" w:eastAsia="宋体" w:cs="宋体"/>
                <w:kern w:val="0"/>
                <w:szCs w:val="21"/>
              </w:rPr>
              <w:t>6.用Wi-Fi射频频段传输，有效避免环境中运营商U段（700MHz）信号干扰。</w:t>
            </w:r>
            <w:r>
              <w:rPr>
                <w:rFonts w:hint="eastAsia" w:ascii="宋体" w:hAnsi="宋体" w:eastAsia="宋体" w:cs="宋体"/>
                <w:kern w:val="0"/>
                <w:szCs w:val="21"/>
              </w:rPr>
              <w:br w:type="textWrapping"/>
            </w:r>
            <w:r>
              <w:rPr>
                <w:rFonts w:hint="eastAsia" w:ascii="宋体" w:hAnsi="宋体" w:eastAsia="宋体" w:cs="宋体"/>
                <w:kern w:val="0"/>
                <w:szCs w:val="21"/>
              </w:rPr>
              <w:t>7.支持2.4GHz与5GHz双频段工作，信道数量26个。</w:t>
            </w:r>
            <w:r>
              <w:rPr>
                <w:rFonts w:hint="eastAsia" w:ascii="宋体" w:hAnsi="宋体" w:eastAsia="宋体" w:cs="宋体"/>
                <w:kern w:val="0"/>
                <w:szCs w:val="21"/>
              </w:rPr>
              <w:br w:type="textWrapping"/>
            </w:r>
            <w:r>
              <w:rPr>
                <w:rFonts w:hint="eastAsia" w:ascii="宋体" w:hAnsi="宋体" w:eastAsia="宋体" w:cs="宋体"/>
                <w:kern w:val="0"/>
                <w:szCs w:val="21"/>
              </w:rPr>
              <w:t>8.电续航时间≥7小时，满电状态可满足一天内≥10节课（45分钟/一节课）的高频授课，充电10分钟满足一节课（45分钟/一节课）授课时间。</w:t>
            </w:r>
            <w:r>
              <w:rPr>
                <w:rFonts w:hint="eastAsia" w:ascii="宋体" w:hAnsi="宋体" w:eastAsia="宋体" w:cs="宋体"/>
                <w:kern w:val="0"/>
                <w:szCs w:val="21"/>
              </w:rPr>
              <w:br w:type="textWrapping"/>
            </w:r>
            <w:r>
              <w:rPr>
                <w:rFonts w:hint="eastAsia" w:ascii="宋体" w:hAnsi="宋体" w:eastAsia="宋体" w:cs="宋体"/>
                <w:kern w:val="0"/>
                <w:szCs w:val="21"/>
              </w:rPr>
              <w:t>9.采用红外对码方式连接，避免连接到其他教室音箱。可在5S内快速完成与教学扩声音箱对码，无需繁琐操作。</w:t>
            </w:r>
            <w:r>
              <w:rPr>
                <w:rFonts w:hint="eastAsia" w:ascii="宋体" w:hAnsi="宋体" w:eastAsia="宋体" w:cs="宋体"/>
                <w:kern w:val="0"/>
                <w:szCs w:val="21"/>
              </w:rPr>
              <w:br w:type="textWrapping"/>
            </w:r>
            <w:r>
              <w:rPr>
                <w:rFonts w:hint="eastAsia" w:ascii="宋体" w:hAnsi="宋体" w:eastAsia="宋体" w:cs="宋体"/>
                <w:kern w:val="0"/>
                <w:szCs w:val="21"/>
              </w:rPr>
              <w:t>10.支持两个无线麦克风同时配对一套一体化有源音箱使用，实现两个麦克风混音输出进行扩音。</w:t>
            </w:r>
            <w:r>
              <w:rPr>
                <w:rFonts w:hint="eastAsia" w:ascii="宋体" w:hAnsi="宋体" w:eastAsia="宋体" w:cs="宋体"/>
                <w:kern w:val="0"/>
                <w:szCs w:val="21"/>
              </w:rPr>
              <w:br w:type="textWrapping"/>
            </w:r>
            <w:r>
              <w:rPr>
                <w:rFonts w:hint="eastAsia" w:ascii="宋体" w:hAnsi="宋体" w:eastAsia="宋体" w:cs="宋体"/>
                <w:kern w:val="0"/>
                <w:szCs w:val="21"/>
              </w:rPr>
              <w:t>11.具备≥3.5mm外置麦克风接口，可搭配其他麦克风进行使用，比如头戴式、挂耳式的外置麦克风。</w:t>
            </w:r>
            <w:r>
              <w:rPr>
                <w:rFonts w:hint="eastAsia" w:ascii="宋体" w:hAnsi="宋体" w:eastAsia="宋体" w:cs="宋体"/>
                <w:kern w:val="0"/>
                <w:szCs w:val="21"/>
              </w:rPr>
              <w:br w:type="textWrapping"/>
            </w:r>
            <w:r>
              <w:rPr>
                <w:rFonts w:hint="eastAsia" w:ascii="宋体" w:hAnsi="宋体" w:eastAsia="宋体" w:cs="宋体"/>
                <w:kern w:val="0"/>
                <w:szCs w:val="21"/>
              </w:rPr>
              <w:t>空旷无干扰的环境，无线传输有效距离≥15 米。</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26</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有源音箱</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1.采用功放与有源音箱一体化设计，内置麦克风无线接收模块。</w:t>
            </w:r>
            <w:r>
              <w:rPr>
                <w:rFonts w:hint="eastAsia" w:ascii="宋体" w:hAnsi="宋体" w:eastAsia="宋体" w:cs="宋体"/>
                <w:kern w:val="0"/>
                <w:szCs w:val="21"/>
              </w:rPr>
              <w:br w:type="textWrapping"/>
            </w:r>
            <w:r>
              <w:rPr>
                <w:rFonts w:hint="eastAsia" w:ascii="宋体" w:hAnsi="宋体" w:eastAsia="宋体" w:cs="宋体"/>
                <w:kern w:val="0"/>
                <w:szCs w:val="21"/>
              </w:rPr>
              <w:t>2.输出额定功率≥2x15W。</w:t>
            </w:r>
            <w:r>
              <w:rPr>
                <w:rFonts w:hint="eastAsia" w:ascii="宋体" w:hAnsi="宋体" w:eastAsia="宋体" w:cs="宋体"/>
                <w:kern w:val="0"/>
                <w:szCs w:val="21"/>
              </w:rPr>
              <w:br w:type="textWrapping"/>
            </w:r>
            <w:r>
              <w:rPr>
                <w:rFonts w:hint="eastAsia" w:ascii="宋体" w:hAnsi="宋体" w:eastAsia="宋体" w:cs="宋体"/>
                <w:kern w:val="0"/>
                <w:szCs w:val="21"/>
              </w:rPr>
              <w:t>3.音箱灵敏度≥85dB，1W/1M。</w:t>
            </w:r>
            <w:r>
              <w:rPr>
                <w:rFonts w:hint="eastAsia" w:ascii="宋体" w:hAnsi="宋体" w:eastAsia="宋体" w:cs="宋体"/>
                <w:kern w:val="0"/>
                <w:szCs w:val="21"/>
              </w:rPr>
              <w:br w:type="textWrapping"/>
            </w:r>
            <w:r>
              <w:rPr>
                <w:rFonts w:hint="eastAsia" w:ascii="宋体" w:hAnsi="宋体" w:eastAsia="宋体" w:cs="宋体"/>
                <w:kern w:val="0"/>
                <w:szCs w:val="21"/>
              </w:rPr>
              <w:t>4.信噪比≦80dB@额定功率、A计权。</w:t>
            </w:r>
            <w:r>
              <w:rPr>
                <w:rFonts w:hint="eastAsia" w:ascii="宋体" w:hAnsi="宋体" w:eastAsia="宋体" w:cs="宋体"/>
                <w:kern w:val="0"/>
                <w:szCs w:val="21"/>
              </w:rPr>
              <w:br w:type="textWrapping"/>
            </w:r>
            <w:r>
              <w:rPr>
                <w:rFonts w:hint="eastAsia" w:ascii="宋体" w:hAnsi="宋体" w:eastAsia="宋体" w:cs="宋体"/>
                <w:kern w:val="0"/>
                <w:szCs w:val="21"/>
              </w:rPr>
              <w:t>5.全频喇叭单元尺寸≥5英寸。</w:t>
            </w:r>
            <w:r>
              <w:rPr>
                <w:rFonts w:hint="eastAsia" w:ascii="宋体" w:hAnsi="宋体" w:eastAsia="宋体" w:cs="宋体"/>
                <w:kern w:val="0"/>
                <w:szCs w:val="21"/>
              </w:rPr>
              <w:br w:type="textWrapping"/>
            </w:r>
            <w:r>
              <w:rPr>
                <w:rFonts w:hint="eastAsia" w:ascii="宋体" w:hAnsi="宋体" w:eastAsia="宋体" w:cs="宋体"/>
                <w:kern w:val="0"/>
                <w:szCs w:val="21"/>
              </w:rPr>
              <w:t>6.THD+N1%。</w:t>
            </w:r>
            <w:r>
              <w:rPr>
                <w:rFonts w:hint="eastAsia" w:ascii="宋体" w:hAnsi="宋体" w:eastAsia="宋体" w:cs="宋体"/>
                <w:kern w:val="0"/>
                <w:szCs w:val="21"/>
              </w:rPr>
              <w:br w:type="textWrapping"/>
            </w:r>
            <w:r>
              <w:rPr>
                <w:rFonts w:hint="eastAsia" w:ascii="宋体" w:hAnsi="宋体" w:eastAsia="宋体" w:cs="宋体"/>
                <w:kern w:val="0"/>
                <w:szCs w:val="21"/>
              </w:rPr>
              <w:t>7.声频响110Hz-16kHz。</w:t>
            </w:r>
            <w:r>
              <w:rPr>
                <w:rFonts w:hint="eastAsia" w:ascii="宋体" w:hAnsi="宋体" w:eastAsia="宋体" w:cs="宋体"/>
                <w:kern w:val="0"/>
                <w:szCs w:val="21"/>
              </w:rPr>
              <w:br w:type="textWrapping"/>
            </w:r>
            <w:r>
              <w:rPr>
                <w:rFonts w:hint="eastAsia" w:ascii="宋体" w:hAnsi="宋体" w:eastAsia="宋体" w:cs="宋体"/>
                <w:kern w:val="0"/>
                <w:szCs w:val="21"/>
              </w:rPr>
              <w:t>8.距离音箱10米处声压级≦75dB。</w:t>
            </w:r>
            <w:r>
              <w:rPr>
                <w:rFonts w:hint="eastAsia" w:ascii="宋体" w:hAnsi="宋体" w:eastAsia="宋体" w:cs="宋体"/>
                <w:kern w:val="0"/>
                <w:szCs w:val="21"/>
              </w:rPr>
              <w:br w:type="textWrapping"/>
            </w:r>
            <w:r>
              <w:rPr>
                <w:rFonts w:hint="eastAsia" w:ascii="宋体" w:hAnsi="宋体" w:eastAsia="宋体" w:cs="宋体"/>
                <w:kern w:val="0"/>
                <w:szCs w:val="21"/>
              </w:rPr>
              <w:t>9.具备≥1路电源开关、≥1路LINE IN、≥1路USB 接口。USB接口可外接U盘设备对音箱固件进行升级。</w:t>
            </w:r>
            <w:r>
              <w:rPr>
                <w:rFonts w:hint="eastAsia" w:ascii="宋体" w:hAnsi="宋体" w:eastAsia="宋体" w:cs="宋体"/>
                <w:kern w:val="0"/>
                <w:szCs w:val="21"/>
              </w:rPr>
              <w:br w:type="textWrapping"/>
            </w:r>
            <w:r>
              <w:rPr>
                <w:rFonts w:hint="eastAsia" w:ascii="宋体" w:hAnsi="宋体" w:eastAsia="宋体" w:cs="宋体"/>
                <w:kern w:val="0"/>
                <w:szCs w:val="21"/>
              </w:rPr>
              <w:t>10.支持无线麦克风扩音接收，采用Wi-Fi射频2.4GHz与 5GHz双频段传输，有效避免环境中运营商U段（700MHz）的信号干扰。</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★11.采用红外对码方式，避免连接到其他教室音箱。可快速完成与教学扩声麦克风对码，无需繁琐操作。</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12.配置独立音频数字信号处理芯片，支持啸叫抑制功能。</w:t>
            </w:r>
            <w:r>
              <w:rPr>
                <w:rFonts w:hint="eastAsia" w:ascii="宋体" w:hAnsi="宋体" w:eastAsia="宋体" w:cs="宋体"/>
                <w:kern w:val="0"/>
                <w:szCs w:val="21"/>
              </w:rPr>
              <w:br w:type="textWrapping"/>
            </w:r>
            <w:r>
              <w:rPr>
                <w:rFonts w:hint="eastAsia" w:ascii="宋体" w:hAnsi="宋体" w:eastAsia="宋体" w:cs="宋体"/>
                <w:kern w:val="0"/>
                <w:szCs w:val="21"/>
              </w:rPr>
              <w:t>13.支持蓝牙无线接收，可分享移动设备上的音频。支持密码模式，防止学生连接。</w:t>
            </w:r>
            <w:r>
              <w:rPr>
                <w:rFonts w:hint="eastAsia" w:ascii="宋体" w:hAnsi="宋体" w:eastAsia="宋体" w:cs="宋体"/>
                <w:kern w:val="0"/>
                <w:szCs w:val="21"/>
              </w:rPr>
              <w:br w:type="textWrapping"/>
            </w:r>
            <w:r>
              <w:rPr>
                <w:rFonts w:hint="eastAsia" w:ascii="宋体" w:hAnsi="宋体" w:eastAsia="宋体" w:cs="宋体"/>
                <w:kern w:val="0"/>
                <w:szCs w:val="21"/>
              </w:rPr>
              <w:t>★14.支持安卓手机通过蓝牙无线连接音箱，实现控制有源音箱的音量、设置蓝牙名称、设置蓝牙密码等功能，方便教师对音箱的管控。</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★15.支持交互智能黑板显示设备通过蓝牙无线连接音箱，实现控制有源音箱的音量的功能。</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27</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智能笔</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1.笔身长度约≥20cm,笔身直径约≥15mm，笔身重量≤20g；</w:t>
            </w:r>
            <w:r>
              <w:rPr>
                <w:rFonts w:hint="eastAsia" w:ascii="宋体" w:hAnsi="宋体" w:eastAsia="宋体" w:cs="宋体"/>
                <w:kern w:val="0"/>
                <w:szCs w:val="21"/>
              </w:rPr>
              <w:br w:type="textWrapping"/>
            </w:r>
            <w:r>
              <w:rPr>
                <w:rFonts w:hint="eastAsia" w:ascii="宋体" w:hAnsi="宋体" w:eastAsia="宋体" w:cs="宋体"/>
                <w:kern w:val="0"/>
                <w:szCs w:val="21"/>
              </w:rPr>
              <w:t>2.≥5个按键；</w:t>
            </w:r>
            <w:r>
              <w:rPr>
                <w:rFonts w:hint="eastAsia" w:ascii="宋体" w:hAnsi="宋体" w:eastAsia="宋体" w:cs="宋体"/>
                <w:kern w:val="0"/>
                <w:szCs w:val="21"/>
              </w:rPr>
              <w:br w:type="textWrapping"/>
            </w:r>
            <w:r>
              <w:rPr>
                <w:rFonts w:hint="eastAsia" w:ascii="宋体" w:hAnsi="宋体" w:eastAsia="宋体" w:cs="宋体"/>
                <w:kern w:val="0"/>
                <w:szCs w:val="21"/>
              </w:rPr>
              <w:t>3.笔尖直径约≥3mm；书写最小精度≦2mm；</w:t>
            </w:r>
            <w:r>
              <w:rPr>
                <w:rFonts w:hint="eastAsia" w:ascii="宋体" w:hAnsi="宋体" w:eastAsia="宋体" w:cs="宋体"/>
                <w:kern w:val="0"/>
                <w:szCs w:val="21"/>
              </w:rPr>
              <w:br w:type="textWrapping"/>
            </w:r>
            <w:r>
              <w:rPr>
                <w:rFonts w:hint="eastAsia" w:ascii="宋体" w:hAnsi="宋体" w:eastAsia="宋体" w:cs="宋体"/>
                <w:kern w:val="0"/>
                <w:szCs w:val="21"/>
              </w:rPr>
              <w:t>4.连续书写距离≥7km；</w:t>
            </w:r>
            <w:r>
              <w:rPr>
                <w:rFonts w:hint="eastAsia" w:ascii="宋体" w:hAnsi="宋体" w:eastAsia="宋体" w:cs="宋体"/>
                <w:kern w:val="0"/>
                <w:szCs w:val="21"/>
              </w:rPr>
              <w:br w:type="textWrapping"/>
            </w:r>
            <w:r>
              <w:rPr>
                <w:rFonts w:hint="eastAsia" w:ascii="宋体" w:hAnsi="宋体" w:eastAsia="宋体" w:cs="宋体"/>
                <w:kern w:val="0"/>
                <w:szCs w:val="21"/>
              </w:rPr>
              <w:t>5.内置麦克风，支持按键唤醒语音识别功能；</w:t>
            </w:r>
            <w:r>
              <w:rPr>
                <w:rFonts w:hint="eastAsia" w:ascii="宋体" w:hAnsi="宋体" w:eastAsia="宋体" w:cs="宋体"/>
                <w:kern w:val="0"/>
                <w:szCs w:val="21"/>
              </w:rPr>
              <w:br w:type="textWrapping"/>
            </w:r>
            <w:r>
              <w:rPr>
                <w:rFonts w:hint="eastAsia" w:ascii="宋体" w:hAnsi="宋体" w:eastAsia="宋体" w:cs="宋体"/>
                <w:kern w:val="0"/>
                <w:szCs w:val="21"/>
              </w:rPr>
              <w:t>6.支持唤醒语音识别时，可直接通过语音打开已安装的应用，可直接通过语音调用网络搜索引擎搜索查询相应资料，可进行语音转写输入，支持语音控制等操作；</w:t>
            </w:r>
            <w:r>
              <w:rPr>
                <w:rFonts w:hint="eastAsia" w:ascii="宋体" w:hAnsi="宋体" w:eastAsia="宋体" w:cs="宋体"/>
                <w:kern w:val="0"/>
                <w:szCs w:val="21"/>
              </w:rPr>
              <w:br w:type="textWrapping"/>
            </w:r>
            <w:r>
              <w:rPr>
                <w:rFonts w:hint="eastAsia" w:ascii="宋体" w:hAnsi="宋体" w:eastAsia="宋体" w:cs="宋体"/>
                <w:kern w:val="0"/>
                <w:szCs w:val="21"/>
              </w:rPr>
              <w:t>7.支持白板软件内，通过语音控制:切换书写、擦除、选择模式，最小化返回桌面，打开板中板，清空书写批注等操作；</w:t>
            </w:r>
            <w:r>
              <w:rPr>
                <w:rFonts w:hint="eastAsia" w:ascii="宋体" w:hAnsi="宋体" w:eastAsia="宋体" w:cs="宋体"/>
                <w:kern w:val="0"/>
                <w:szCs w:val="21"/>
              </w:rPr>
              <w:br w:type="textWrapping"/>
            </w:r>
            <w:r>
              <w:rPr>
                <w:rFonts w:hint="eastAsia" w:ascii="宋体" w:hAnsi="宋体" w:eastAsia="宋体" w:cs="宋体"/>
                <w:kern w:val="0"/>
                <w:szCs w:val="21"/>
              </w:rPr>
              <w:t>8.支持按键调起批注功能，可通过按键实现批注颜色切换，长按按键可实现橡皮擦功能；</w:t>
            </w:r>
            <w:r>
              <w:rPr>
                <w:rFonts w:hint="eastAsia" w:ascii="宋体" w:hAnsi="宋体" w:eastAsia="宋体" w:cs="宋体"/>
                <w:kern w:val="0"/>
                <w:szCs w:val="21"/>
              </w:rPr>
              <w:br w:type="textWrapping"/>
            </w:r>
            <w:r>
              <w:rPr>
                <w:rFonts w:hint="eastAsia" w:ascii="宋体" w:hAnsi="宋体" w:eastAsia="宋体" w:cs="宋体"/>
                <w:kern w:val="0"/>
                <w:szCs w:val="21"/>
              </w:rPr>
              <w:t>9.≥2种连接方式，支持蓝牙≥5.1协议；</w:t>
            </w:r>
            <w:r>
              <w:rPr>
                <w:rFonts w:hint="eastAsia" w:ascii="宋体" w:hAnsi="宋体" w:eastAsia="宋体" w:cs="宋体"/>
                <w:kern w:val="0"/>
                <w:szCs w:val="21"/>
              </w:rPr>
              <w:br w:type="textWrapping"/>
            </w:r>
            <w:r>
              <w:rPr>
                <w:rFonts w:hint="eastAsia" w:ascii="宋体" w:hAnsi="宋体" w:eastAsia="宋体" w:cs="宋体"/>
                <w:kern w:val="0"/>
                <w:szCs w:val="21"/>
              </w:rPr>
              <w:t>10.实现距离≥12m；</w:t>
            </w:r>
            <w:r>
              <w:rPr>
                <w:rFonts w:hint="eastAsia" w:ascii="宋体" w:hAnsi="宋体" w:eastAsia="宋体" w:cs="宋体"/>
                <w:kern w:val="0"/>
                <w:szCs w:val="21"/>
              </w:rPr>
              <w:br w:type="textWrapping"/>
            </w:r>
            <w:r>
              <w:rPr>
                <w:rFonts w:hint="eastAsia" w:ascii="宋体" w:hAnsi="宋体" w:eastAsia="宋体" w:cs="宋体"/>
                <w:kern w:val="0"/>
                <w:szCs w:val="21"/>
              </w:rPr>
              <w:t>11.内置锂电池，支持type-c充电，待机时间≥60h,连续书写时间≥8h；</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套</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28</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教学助手软件</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1.教学系统为教师提供对应的移动应用平台，实现备授课过程多终端多场景一体化。</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2.具有对课件对象拖拽移动、克隆复制、置顶、删除互动功能，并可通过移动端进行思维导图、课堂互动游戏的触控交互操作，并支持显示课件备注内容。</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3.教师可在移动平台选择是否接收获取的分享课件，接收后课件储存至个人云空间，可在移动平台的互动课件列表预览。</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4.移动平台可对云空间互动课件和课件组移动、删除和重命名，课件及课件组支持批量移动、删除。删除的课件可以在移动平台的回收站中恢复或永久清除。</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5.移动平台支持课件编辑，编辑内容一键保存，同时同步到个人云空间。支持插入文本，支持增大减小字号、下划线、加粗、斜体、更改颜色、居左、居中、居右、删除操作。</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6.移动平台可将教师的课件通过微信、朋友圈、云空间帐号、二维码、公开链接、加密链接的方式进行分享，分享有效期支持教师自定义。</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7.移动平台可查看教师个人云空间里所有互动课件列表，并可打开互动课件进行预览，预览时支持上下翻页、页面缩略图预览、页面跳转。</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8.移动平台可以上传手机相册中的照片和视频到资料夹，且支持调用手机相机拍摄照片并直接上传。教师可以在备课端选择资源插入课件。</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9.移动平台与授课端账号数据联通，可在移动端选择个人云空间内任意课件放映，授课端同步显示课件内容。</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10.无需局域网环境部署，教师可使用移动端进行课件翻页，课件预览、课件跳页、播放视频、播放课堂活动、展开思维导图。支持横竖屏两种模式。</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11.在局域网环境或无网环境下，可将移动端屏幕实时同步至授课显示端，同屏窗口、全屏显示方式根据移动端界面自动适配。</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12.在局域网环境或无网环境下提供直播功能，移动端拍摄画面实时同步至授课显示端，直播窗口、全屏显示方式根据移动端拍摄自动适配，直播画质根据网络状况自动调。</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台</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29</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地面地胶</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Pvc塑胶地板，耐磨、易清理、保养容易、施工容易且快速、更换容易、防水性佳的≥2.0mm的PVC地板。</w:t>
            </w:r>
            <w:r>
              <w:rPr>
                <w:rFonts w:hint="eastAsia" w:ascii="宋体" w:hAnsi="宋体" w:eastAsia="宋体" w:cs="宋体"/>
                <w:kern w:val="0"/>
                <w:szCs w:val="21"/>
              </w:rPr>
              <w:br w:type="textWrapping"/>
            </w:r>
            <w:r>
              <w:rPr>
                <w:rFonts w:hint="eastAsia" w:ascii="宋体" w:hAnsi="宋体" w:eastAsia="宋体" w:cs="宋体"/>
                <w:kern w:val="0"/>
                <w:szCs w:val="21"/>
              </w:rPr>
              <w:t>地面自流平处理:能更好的让地板达到最佳效果，地板的寿命更长。</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30</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墙面吸音棉</w:t>
            </w:r>
          </w:p>
        </w:tc>
        <w:tc>
          <w:tcPr>
            <w:tcW w:w="3052" w:type="pct"/>
            <w:vAlign w:val="center"/>
          </w:tcPr>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1、原始墙面、找平。</w:t>
            </w:r>
            <w:r>
              <w:rPr>
                <w:rFonts w:hint="eastAsia" w:ascii="宋体" w:hAnsi="宋体" w:eastAsia="宋体" w:cs="宋体"/>
                <w:kern w:val="0"/>
                <w:szCs w:val="21"/>
              </w:rPr>
              <w:br w:type="textWrapping"/>
            </w:r>
            <w:r>
              <w:rPr>
                <w:rFonts w:hint="eastAsia" w:ascii="宋体" w:hAnsi="宋体" w:eastAsia="宋体" w:cs="宋体"/>
                <w:kern w:val="0"/>
                <w:szCs w:val="21"/>
              </w:rPr>
              <w:t>2、墙面≥1m高木质吸音板(优质）墙裙，+吸音腔:木质吸音板基材采用≥12mm高质量的矿物纤维棉，重量平均，而且不易变形。表面有磨砂、覆膜等处理，更晋升了吸音板的档次和机能。甲醛释放量≦0.4mg/L。</w:t>
            </w:r>
            <w:r>
              <w:rPr>
                <w:rFonts w:hint="eastAsia" w:ascii="宋体" w:hAnsi="宋体" w:eastAsia="宋体" w:cs="宋体"/>
                <w:kern w:val="0"/>
                <w:szCs w:val="21"/>
              </w:rPr>
              <w:br w:type="textWrapping"/>
            </w:r>
            <w:r>
              <w:rPr>
                <w:rFonts w:hint="eastAsia" w:ascii="宋体" w:hAnsi="宋体" w:eastAsia="宋体" w:cs="宋体"/>
                <w:kern w:val="0"/>
                <w:szCs w:val="21"/>
              </w:rPr>
              <w:t>3、墙面≥2m高聚酯纤维吸音板+吸音腔+面板:100%聚酯纤维制作，在125-4000HZ噪声范围内吸音系数≥0.94，具有出色阻燃防火性能;甲醛释放量为≦0.05㎎/1，达到国家标准要求，应做到耐磨、抗冲击、耐撕裂、不易划破。</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1"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31</w:t>
            </w:r>
          </w:p>
        </w:tc>
        <w:tc>
          <w:tcPr>
            <w:tcW w:w="75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窗帘</w:t>
            </w:r>
          </w:p>
        </w:tc>
        <w:tc>
          <w:tcPr>
            <w:tcW w:w="3052" w:type="pct"/>
            <w:vAlign w:val="center"/>
          </w:tcPr>
          <w:p>
            <w:pPr>
              <w:widowControl/>
              <w:numPr>
                <w:ilvl w:val="0"/>
                <w:numId w:val="17"/>
              </w:numPr>
              <w:spacing w:line="300" w:lineRule="auto"/>
              <w:jc w:val="left"/>
              <w:rPr>
                <w:rFonts w:ascii="宋体" w:hAnsi="宋体" w:eastAsia="宋体" w:cs="宋体"/>
                <w:kern w:val="0"/>
                <w:szCs w:val="21"/>
              </w:rPr>
            </w:pPr>
            <w:r>
              <w:rPr>
                <w:rFonts w:hint="eastAsia" w:ascii="宋体" w:hAnsi="宋体" w:eastAsia="宋体" w:cs="宋体"/>
                <w:kern w:val="0"/>
                <w:szCs w:val="21"/>
              </w:rPr>
              <w:t>规格及尺寸:1个窗户需卷帘约3.8㎡</w:t>
            </w:r>
            <w:r>
              <w:rPr>
                <w:rFonts w:hint="eastAsia" w:ascii="宋体" w:hAnsi="宋体" w:eastAsia="宋体" w:cs="宋体"/>
                <w:kern w:val="0"/>
                <w:szCs w:val="21"/>
              </w:rPr>
              <w:br w:type="textWrapping"/>
            </w:r>
            <w:r>
              <w:rPr>
                <w:rFonts w:hint="eastAsia" w:ascii="宋体" w:hAnsi="宋体" w:eastAsia="宋体" w:cs="宋体"/>
                <w:kern w:val="0"/>
                <w:szCs w:val="21"/>
              </w:rPr>
              <w:t>材质及参数:1.遮阳帘织物表面不应有破损、明显折痕、破条、不可清除的污垢、色差、毛边、荷叶边，拼接处不应发生裂缝、跳缝、脱线。条纹布料的条纹应对齐，其允许偏差≦3.0mm</w:t>
            </w:r>
            <w:r>
              <w:rPr>
                <w:rFonts w:hint="eastAsia" w:ascii="宋体" w:hAnsi="宋体" w:eastAsia="宋体" w:cs="宋体"/>
                <w:kern w:val="0"/>
                <w:szCs w:val="21"/>
              </w:rPr>
              <w:br w:type="textWrapping"/>
            </w:r>
            <w:r>
              <w:rPr>
                <w:rFonts w:hint="eastAsia" w:ascii="宋体" w:hAnsi="宋体" w:eastAsia="宋体" w:cs="宋体"/>
                <w:kern w:val="0"/>
                <w:szCs w:val="21"/>
              </w:rPr>
              <w:t>2. 色牢度与耐气候色牢度</w:t>
            </w:r>
            <w:r>
              <w:rPr>
                <w:rFonts w:hint="eastAsia" w:ascii="宋体" w:hAnsi="宋体" w:eastAsia="宋体" w:cs="宋体"/>
                <w:kern w:val="0"/>
                <w:szCs w:val="21"/>
              </w:rPr>
              <w:br w:type="textWrapping"/>
            </w:r>
            <w:r>
              <w:rPr>
                <w:rFonts w:hint="eastAsia" w:ascii="宋体" w:hAnsi="宋体" w:eastAsia="宋体" w:cs="宋体"/>
                <w:kern w:val="0"/>
                <w:szCs w:val="21"/>
              </w:rPr>
              <w:t>a. 遮阳织物色牢度应按照GB／T 8427规定的试验方法进行测试，户外遮阳织物的耐人造气候色牢度应按照GB／T 8430规定的试验方法进行测试。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b.遮阳织物色牢度等级≥4级，色牢度等级在7级往上更好。</w:t>
            </w:r>
            <w:r>
              <w:rPr>
                <w:rFonts w:hint="eastAsia" w:ascii="宋体" w:hAnsi="宋体" w:eastAsia="宋体" w:cs="宋体"/>
                <w:kern w:val="0"/>
                <w:szCs w:val="21"/>
              </w:rPr>
              <w:br w:type="textWrapping"/>
            </w:r>
            <w:r>
              <w:rPr>
                <w:rFonts w:hint="eastAsia" w:ascii="宋体" w:hAnsi="宋体" w:eastAsia="宋体" w:cs="宋体"/>
                <w:kern w:val="0"/>
                <w:szCs w:val="21"/>
              </w:rPr>
              <w:t>c.户外遮阳织物耐气候色牢度等级≥4级，耐气候色牢度等级在7级往上更好。</w:t>
            </w:r>
            <w:r>
              <w:rPr>
                <w:rFonts w:hint="eastAsia" w:ascii="宋体" w:hAnsi="宋体" w:eastAsia="宋体" w:cs="宋体"/>
                <w:kern w:val="0"/>
                <w:szCs w:val="21"/>
              </w:rPr>
              <w:br w:type="textWrapping"/>
            </w:r>
            <w:r>
              <w:rPr>
                <w:rFonts w:hint="eastAsia" w:ascii="宋体" w:hAnsi="宋体" w:eastAsia="宋体" w:cs="宋体"/>
                <w:kern w:val="0"/>
                <w:szCs w:val="21"/>
              </w:rPr>
              <w:t>3.断裂强力</w:t>
            </w:r>
            <w:r>
              <w:rPr>
                <w:rFonts w:hint="eastAsia" w:ascii="宋体" w:hAnsi="宋体" w:eastAsia="宋体" w:cs="宋体"/>
                <w:kern w:val="0"/>
                <w:szCs w:val="21"/>
              </w:rPr>
              <w:br w:type="textWrapping"/>
            </w:r>
            <w:r>
              <w:rPr>
                <w:rFonts w:hint="eastAsia" w:ascii="宋体" w:hAnsi="宋体" w:eastAsia="宋体" w:cs="宋体"/>
                <w:kern w:val="0"/>
                <w:szCs w:val="21"/>
              </w:rPr>
              <w:t>a. 遮阳织物的断裂强力应按照GB／T 3923．1规定的试验方法进行测试。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 遮阳织物以50mm宽带条的最小断裂强力表示，断裂强力应符合经向＞800N、纬向＞500N。</w:t>
            </w:r>
            <w:r>
              <w:rPr>
                <w:rFonts w:hint="eastAsia" w:ascii="宋体" w:hAnsi="宋体" w:eastAsia="宋体" w:cs="宋体"/>
                <w:kern w:val="0"/>
                <w:szCs w:val="21"/>
              </w:rPr>
              <w:br w:type="textWrapping"/>
            </w:r>
            <w:r>
              <w:rPr>
                <w:rFonts w:hint="eastAsia" w:ascii="宋体" w:hAnsi="宋体" w:eastAsia="宋体" w:cs="宋体"/>
                <w:kern w:val="0"/>
                <w:szCs w:val="21"/>
              </w:rPr>
              <w:t>4.撕破强力</w:t>
            </w:r>
            <w:r>
              <w:rPr>
                <w:rFonts w:hint="eastAsia" w:ascii="宋体" w:hAnsi="宋体" w:eastAsia="宋体" w:cs="宋体"/>
                <w:kern w:val="0"/>
                <w:szCs w:val="21"/>
              </w:rPr>
              <w:br w:type="textWrapping"/>
            </w:r>
            <w:r>
              <w:rPr>
                <w:rFonts w:hint="eastAsia" w:ascii="宋体" w:hAnsi="宋体" w:eastAsia="宋体" w:cs="宋体"/>
                <w:kern w:val="0"/>
                <w:szCs w:val="21"/>
              </w:rPr>
              <w:t>a.遮阳织物的撕破强力应按照GB／T 3917．1规定的试验方法进行测试。</w:t>
            </w:r>
            <w:r>
              <w:rPr>
                <w:rFonts w:hint="eastAsia" w:ascii="宋体" w:hAnsi="宋体" w:eastAsia="宋体" w:cs="宋体"/>
                <w:kern w:val="0"/>
                <w:szCs w:val="21"/>
              </w:rPr>
              <w:br w:type="textWrapping"/>
            </w:r>
            <w:r>
              <w:rPr>
                <w:rFonts w:hint="eastAsia" w:ascii="宋体" w:hAnsi="宋体" w:eastAsia="宋体" w:cs="宋体"/>
                <w:kern w:val="0"/>
                <w:szCs w:val="21"/>
              </w:rPr>
              <w:t>b.户外遮阳篷用织物的撕破强力应达到经向≥20N，纬向≥20N。</w:t>
            </w:r>
            <w:r>
              <w:rPr>
                <w:rFonts w:hint="eastAsia" w:ascii="宋体" w:hAnsi="宋体" w:eastAsia="宋体" w:cs="宋体"/>
                <w:kern w:val="0"/>
                <w:szCs w:val="21"/>
              </w:rPr>
              <w:br w:type="textWrapping"/>
            </w:r>
            <w:r>
              <w:rPr>
                <w:rFonts w:hint="eastAsia" w:ascii="宋体" w:hAnsi="宋体" w:eastAsia="宋体" w:cs="宋体"/>
                <w:kern w:val="0"/>
                <w:szCs w:val="21"/>
              </w:rPr>
              <w:t>5. 断裂伸长率</w:t>
            </w:r>
            <w:r>
              <w:rPr>
                <w:rFonts w:hint="eastAsia" w:ascii="宋体" w:hAnsi="宋体" w:eastAsia="宋体" w:cs="宋体"/>
                <w:kern w:val="0"/>
                <w:szCs w:val="21"/>
              </w:rPr>
              <w:br w:type="textWrapping"/>
            </w:r>
            <w:r>
              <w:rPr>
                <w:rFonts w:hint="eastAsia" w:ascii="宋体" w:hAnsi="宋体" w:eastAsia="宋体" w:cs="宋体"/>
                <w:kern w:val="0"/>
                <w:szCs w:val="21"/>
              </w:rPr>
              <w:t>遮阳织物的断裂伸长率应按照GB／T 3923．1规定的试验方法进行测试，断裂伸长率等级≥2级。</w:t>
            </w:r>
            <w:r>
              <w:rPr>
                <w:rFonts w:hint="eastAsia" w:ascii="宋体" w:hAnsi="宋体" w:eastAsia="宋体" w:cs="宋体"/>
                <w:kern w:val="0"/>
                <w:szCs w:val="21"/>
              </w:rPr>
              <w:br w:type="textWrapping"/>
            </w:r>
            <w:r>
              <w:rPr>
                <w:rFonts w:hint="eastAsia" w:ascii="宋体" w:hAnsi="宋体" w:eastAsia="宋体" w:cs="宋体"/>
                <w:kern w:val="0"/>
                <w:szCs w:val="21"/>
              </w:rPr>
              <w:t>6.可见光透射率</w:t>
            </w:r>
            <w:r>
              <w:rPr>
                <w:rFonts w:hint="eastAsia" w:ascii="宋体" w:hAnsi="宋体" w:eastAsia="宋体" w:cs="宋体"/>
                <w:kern w:val="0"/>
                <w:szCs w:val="21"/>
              </w:rPr>
              <w:br w:type="textWrapping"/>
            </w:r>
            <w:r>
              <w:rPr>
                <w:rFonts w:hint="eastAsia" w:ascii="宋体" w:hAnsi="宋体" w:eastAsia="宋体" w:cs="宋体"/>
                <w:kern w:val="0"/>
                <w:szCs w:val="21"/>
              </w:rPr>
              <w:t>遮阳织物的可见光透射率应按照FZ／T 01009规定的试验方法进行测试。织物可见光透射率等级1级不透光、2级弱透光、3级适度透光、4级较强透光。</w:t>
            </w:r>
            <w:r>
              <w:rPr>
                <w:rFonts w:hint="eastAsia" w:ascii="宋体" w:hAnsi="宋体" w:eastAsia="宋体" w:cs="宋体"/>
                <w:kern w:val="0"/>
                <w:szCs w:val="21"/>
              </w:rPr>
              <w:br w:type="textWrapping"/>
            </w:r>
            <w:r>
              <w:rPr>
                <w:rFonts w:hint="eastAsia" w:ascii="宋体" w:hAnsi="宋体" w:eastAsia="宋体" w:cs="宋体"/>
                <w:kern w:val="0"/>
                <w:szCs w:val="21"/>
              </w:rPr>
              <w:t>7.防紫外线性能</w:t>
            </w:r>
            <w:r>
              <w:rPr>
                <w:rFonts w:hint="eastAsia" w:ascii="宋体" w:hAnsi="宋体" w:eastAsia="宋体" w:cs="宋体"/>
                <w:kern w:val="0"/>
                <w:szCs w:val="21"/>
              </w:rPr>
              <w:br w:type="textWrapping"/>
            </w:r>
            <w:r>
              <w:rPr>
                <w:rFonts w:hint="eastAsia" w:ascii="宋体" w:hAnsi="宋体" w:eastAsia="宋体" w:cs="宋体"/>
                <w:kern w:val="0"/>
                <w:szCs w:val="21"/>
              </w:rPr>
              <w:t>遮阳织物产品的防紫外线性能应按照GB／T 18830规定的试验方法进行测试。紫外线防护系数(UPF)&gt;30、且紫外线透射比T(UVA)&lt;5％时，可称为防紫外线产品。</w:t>
            </w:r>
            <w:r>
              <w:rPr>
                <w:rFonts w:hint="eastAsia" w:ascii="宋体" w:hAnsi="宋体" w:eastAsia="宋体" w:cs="宋体"/>
                <w:kern w:val="0"/>
                <w:szCs w:val="21"/>
              </w:rPr>
              <w:br w:type="textWrapping"/>
            </w:r>
            <w:r>
              <w:rPr>
                <w:rFonts w:hint="eastAsia" w:ascii="宋体" w:hAnsi="宋体" w:eastAsia="宋体" w:cs="宋体"/>
                <w:kern w:val="0"/>
                <w:szCs w:val="21"/>
              </w:rPr>
              <w:t>8.遮阳系数</w:t>
            </w:r>
            <w:r>
              <w:rPr>
                <w:rFonts w:hint="eastAsia" w:ascii="宋体" w:hAnsi="宋体" w:eastAsia="宋体" w:cs="宋体"/>
                <w:kern w:val="0"/>
                <w:szCs w:val="21"/>
              </w:rPr>
              <w:br w:type="textWrapping"/>
            </w:r>
            <w:r>
              <w:rPr>
                <w:rFonts w:hint="eastAsia" w:ascii="宋体" w:hAnsi="宋体" w:eastAsia="宋体" w:cs="宋体"/>
                <w:kern w:val="0"/>
                <w:szCs w:val="21"/>
              </w:rPr>
              <w:t>遮阳织物的遮阳系数应参照GB／T 2680规定的试验方法进行测试。织物的遮阳系数以SD表示，遮阳系数等级≥2级。</w:t>
            </w:r>
          </w:p>
          <w:p>
            <w:pPr>
              <w:widowControl/>
              <w:spacing w:line="300" w:lineRule="auto"/>
              <w:jc w:val="left"/>
              <w:rPr>
                <w:rFonts w:ascii="宋体" w:hAnsi="宋体" w:eastAsia="宋体" w:cs="宋体"/>
                <w:kern w:val="0"/>
                <w:szCs w:val="21"/>
              </w:rPr>
            </w:pPr>
            <w:r>
              <w:rPr>
                <w:rFonts w:hint="eastAsia" w:ascii="宋体" w:hAnsi="宋体" w:eastAsia="宋体" w:cs="宋体"/>
                <w:kern w:val="0"/>
                <w:szCs w:val="21"/>
              </w:rPr>
              <w:t>9.燃烧性能</w:t>
            </w:r>
            <w:r>
              <w:rPr>
                <w:rFonts w:hint="eastAsia" w:ascii="宋体" w:hAnsi="宋体" w:eastAsia="宋体" w:cs="宋体"/>
                <w:kern w:val="0"/>
                <w:szCs w:val="21"/>
              </w:rPr>
              <w:br w:type="textWrapping"/>
            </w:r>
            <w:r>
              <w:rPr>
                <w:rFonts w:hint="eastAsia" w:ascii="宋体" w:hAnsi="宋体" w:eastAsia="宋体" w:cs="宋体"/>
                <w:kern w:val="0"/>
                <w:szCs w:val="21"/>
              </w:rPr>
              <w:t>遮阳用织物材料的燃烧性能应符合GB 8624-2012中燃烧性能A等级的规定。</w:t>
            </w:r>
            <w:r>
              <w:rPr>
                <w:rFonts w:hint="eastAsia" w:ascii="宋体" w:hAnsi="宋体" w:eastAsia="宋体" w:cs="宋体"/>
                <w:kern w:val="0"/>
                <w:szCs w:val="21"/>
              </w:rPr>
              <w:br w:type="textWrapping"/>
            </w:r>
            <w:r>
              <w:rPr>
                <w:rFonts w:hint="eastAsia" w:ascii="宋体" w:hAnsi="宋体" w:eastAsia="宋体" w:cs="宋体"/>
                <w:kern w:val="0"/>
                <w:szCs w:val="21"/>
              </w:rPr>
              <w:t>10. 卫生、健康和环境</w:t>
            </w:r>
            <w:r>
              <w:rPr>
                <w:rFonts w:hint="eastAsia" w:ascii="宋体" w:hAnsi="宋体" w:eastAsia="宋体" w:cs="宋体"/>
                <w:kern w:val="0"/>
                <w:szCs w:val="21"/>
              </w:rPr>
              <w:br w:type="textWrapping"/>
            </w:r>
            <w:r>
              <w:rPr>
                <w:rFonts w:hint="eastAsia" w:ascii="宋体" w:hAnsi="宋体" w:eastAsia="宋体" w:cs="宋体"/>
                <w:kern w:val="0"/>
                <w:szCs w:val="21"/>
              </w:rPr>
              <w:t>a.户内遮阳产品所用的材料，其有害物质限量应符合GB 18401，GB 18580和GB 18586的规定。</w:t>
            </w:r>
            <w:r>
              <w:rPr>
                <w:rFonts w:hint="eastAsia" w:ascii="宋体" w:hAnsi="宋体" w:eastAsia="宋体" w:cs="宋体"/>
                <w:kern w:val="0"/>
                <w:szCs w:val="21"/>
              </w:rPr>
              <w:br w:type="textWrapping"/>
            </w:r>
            <w:r>
              <w:rPr>
                <w:rFonts w:hint="eastAsia" w:ascii="宋体" w:hAnsi="宋体" w:eastAsia="宋体" w:cs="宋体"/>
                <w:kern w:val="0"/>
                <w:szCs w:val="21"/>
              </w:rPr>
              <w:t>b.在外部环境条件的作用下，遮阳产品所用的织物应不利于微生物的生长。人造织物应采用抗真菌、抗霉变方法处理。</w:t>
            </w:r>
          </w:p>
        </w:tc>
        <w:tc>
          <w:tcPr>
            <w:tcW w:w="374"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w:t>
            </w:r>
          </w:p>
        </w:tc>
        <w:tc>
          <w:tcPr>
            <w:tcW w:w="445" w:type="pct"/>
            <w:vAlign w:val="center"/>
          </w:tcPr>
          <w:p>
            <w:pPr>
              <w:widowControl/>
              <w:spacing w:line="300" w:lineRule="auto"/>
              <w:jc w:val="center"/>
              <w:rPr>
                <w:rFonts w:ascii="宋体" w:hAnsi="宋体" w:eastAsia="宋体" w:cs="宋体"/>
                <w:kern w:val="0"/>
                <w:szCs w:val="21"/>
              </w:rPr>
            </w:pPr>
            <w:r>
              <w:rPr>
                <w:rFonts w:hint="eastAsia" w:ascii="宋体" w:hAnsi="宋体" w:eastAsia="宋体" w:cs="宋体"/>
                <w:kern w:val="0"/>
                <w:szCs w:val="21"/>
              </w:rPr>
              <w:t>22.8</w:t>
            </w:r>
          </w:p>
        </w:tc>
      </w:tr>
    </w:tbl>
    <w:p>
      <w:pPr>
        <w:rPr>
          <w:rFonts w:ascii="宋体" w:hAnsi="宋体" w:eastAsia="宋体" w:cs="宋体"/>
        </w:rPr>
      </w:pPr>
    </w:p>
    <w:p>
      <w:r>
        <w:br w:type="page"/>
      </w:r>
    </w:p>
    <w:p>
      <w:pPr>
        <w:pStyle w:val="3"/>
        <w:spacing w:before="0" w:after="0"/>
        <w:jc w:val="center"/>
        <w:rPr>
          <w:rFonts w:asciiTheme="minorEastAsia" w:hAnsiTheme="minorEastAsia"/>
          <w:sz w:val="32"/>
        </w:rPr>
      </w:pPr>
      <w:bookmarkStart w:id="77" w:name="_Toc143350548"/>
      <w:r>
        <w:rPr>
          <w:rFonts w:hint="eastAsia" w:asciiTheme="minorEastAsia" w:hAnsiTheme="minorEastAsia"/>
          <w:sz w:val="32"/>
        </w:rPr>
        <w:t>郑州市中原区政府采购合同融资政策告知函</w:t>
      </w:r>
      <w:bookmarkEnd w:id="77"/>
    </w:p>
    <w:p/>
    <w:p/>
    <w:p>
      <w:pPr>
        <w:spacing w:line="360" w:lineRule="auto"/>
        <w:rPr>
          <w:sz w:val="24"/>
          <w:szCs w:val="24"/>
        </w:rPr>
      </w:pPr>
      <w:r>
        <w:rPr>
          <w:rFonts w:hint="eastAsia"/>
          <w:sz w:val="24"/>
          <w:szCs w:val="24"/>
        </w:rPr>
        <w:t>各供应商：</w:t>
      </w:r>
    </w:p>
    <w:p>
      <w:pPr>
        <w:spacing w:line="360" w:lineRule="auto"/>
        <w:ind w:firstLine="480" w:firstLineChars="200"/>
        <w:textAlignment w:val="baseline"/>
        <w:rPr>
          <w:sz w:val="24"/>
          <w:szCs w:val="24"/>
        </w:rPr>
      </w:pPr>
      <w:r>
        <w:rPr>
          <w:rFonts w:hint="eastAsia"/>
          <w:sz w:val="24"/>
          <w:szCs w:val="24"/>
        </w:rPr>
        <w:t>融资机构简介：郑州银行是河南省首家上市城商行、国内首家“A+H”上市城商行。郑州银行在发展中逐步确立了“商贸金融、市民金融、小微金融”的“三大特色定位”，坚持走特色化、差异化发展之路，服务地方经济发展。</w:t>
      </w:r>
    </w:p>
    <w:p>
      <w:pPr>
        <w:spacing w:line="360" w:lineRule="auto"/>
        <w:ind w:firstLine="480" w:firstLineChars="200"/>
        <w:textAlignment w:val="baseline"/>
        <w:rPr>
          <w:sz w:val="24"/>
          <w:szCs w:val="24"/>
        </w:rPr>
      </w:pPr>
      <w:r>
        <w:rPr>
          <w:rFonts w:hint="eastAsia"/>
          <w:sz w:val="24"/>
          <w:szCs w:val="24"/>
        </w:rPr>
        <w:t>融资政策介绍：郑州银行作为本土金融机构守土有责，为更好服务地方实体经济和小微企业，联合中原区财政局，围绕政府采购业务开发出特色“E采贷”产品，为成功中标中原区政府采购项目的小微企业提供融资服务。</w:t>
      </w:r>
    </w:p>
    <w:p>
      <w:pPr>
        <w:spacing w:line="360" w:lineRule="auto"/>
        <w:ind w:firstLine="480" w:firstLineChars="200"/>
        <w:textAlignment w:val="baseline"/>
        <w:rPr>
          <w:sz w:val="24"/>
          <w:szCs w:val="24"/>
        </w:rPr>
      </w:pPr>
      <w:r>
        <w:rPr>
          <w:rFonts w:hint="eastAsia"/>
          <w:sz w:val="24"/>
          <w:szCs w:val="24"/>
        </w:rPr>
        <w:t>融资产品介绍：“E采贷”产品具有“纯信用、成本低、速度快、方式活、额度高、期限长”等六大优势。一、纯信用，对信用情况良好的客户，可依据政府采购合同，采取纯信用担保方式，无需提供其他任何抵押担保；二、成本低，贷款利率较低且不添加任何其他费用，低于一般银行贷款综合费率；三、速度快，从资料完整提交到放款一般只需5-7个工作日；四、方式活，客户可依据网银自主提款；五、额度高，最高授信额度1000万，自主提款比例最高可达中标金额的80%；六、期限长，授信期限最长可达3年，在授信有效期内资金可循环使用。</w:t>
      </w:r>
    </w:p>
    <w:p>
      <w:pPr>
        <w:spacing w:line="360" w:lineRule="auto"/>
        <w:ind w:firstLine="480" w:firstLineChars="200"/>
        <w:textAlignment w:val="baseline"/>
        <w:rPr>
          <w:sz w:val="24"/>
          <w:szCs w:val="24"/>
        </w:rPr>
      </w:pPr>
    </w:p>
    <w:p>
      <w:pPr>
        <w:spacing w:line="360" w:lineRule="auto"/>
        <w:ind w:firstLine="480" w:firstLineChars="200"/>
        <w:textAlignment w:val="baseline"/>
        <w:rPr>
          <w:sz w:val="24"/>
          <w:szCs w:val="24"/>
        </w:rPr>
      </w:pPr>
      <w:r>
        <w:rPr>
          <w:rFonts w:hint="eastAsia"/>
          <w:sz w:val="24"/>
          <w:szCs w:val="24"/>
        </w:rPr>
        <w:t>融资机构业务人员信息列表（欢迎业务咨询）：</w:t>
      </w:r>
    </w:p>
    <w:p>
      <w:pPr>
        <w:spacing w:line="360" w:lineRule="auto"/>
        <w:ind w:firstLine="480" w:firstLineChars="200"/>
        <w:textAlignment w:val="baseline"/>
        <w:rPr>
          <w:sz w:val="24"/>
          <w:szCs w:val="24"/>
        </w:rPr>
      </w:pPr>
      <w:r>
        <w:rPr>
          <w:rFonts w:hint="eastAsia"/>
          <w:sz w:val="24"/>
          <w:szCs w:val="24"/>
        </w:rPr>
        <w:t>1、韩 华 13523000010</w:t>
      </w:r>
    </w:p>
    <w:p>
      <w:pPr>
        <w:spacing w:line="360" w:lineRule="auto"/>
        <w:ind w:firstLine="480" w:firstLineChars="200"/>
        <w:textAlignment w:val="baseline"/>
        <w:rPr>
          <w:sz w:val="24"/>
          <w:szCs w:val="24"/>
        </w:rPr>
      </w:pPr>
      <w:r>
        <w:rPr>
          <w:rFonts w:hint="eastAsia"/>
          <w:sz w:val="24"/>
          <w:szCs w:val="24"/>
        </w:rPr>
        <w:t>2、杨兆聪 15538872888</w:t>
      </w:r>
    </w:p>
    <w:p>
      <w:pPr>
        <w:spacing w:line="360" w:lineRule="auto"/>
        <w:ind w:firstLine="480" w:firstLineChars="200"/>
        <w:textAlignment w:val="baseline"/>
        <w:rPr>
          <w:sz w:val="24"/>
          <w:szCs w:val="24"/>
        </w:rPr>
      </w:pPr>
    </w:p>
    <w:p>
      <w:pPr>
        <w:spacing w:line="360" w:lineRule="auto"/>
        <w:ind w:firstLine="480" w:firstLineChars="200"/>
        <w:textAlignment w:val="baseline"/>
        <w:rPr>
          <w:sz w:val="24"/>
          <w:szCs w:val="24"/>
        </w:rPr>
      </w:pPr>
      <w:r>
        <w:rPr>
          <w:rFonts w:hint="eastAsia"/>
          <w:sz w:val="24"/>
          <w:szCs w:val="24"/>
        </w:rPr>
        <w:t>融资入口链接：</w:t>
      </w:r>
    </w:p>
    <w:p>
      <w:pPr>
        <w:spacing w:line="360" w:lineRule="auto"/>
        <w:ind w:firstLine="424" w:firstLineChars="177"/>
        <w:rPr>
          <w:sz w:val="24"/>
        </w:rPr>
      </w:pPr>
      <w:r>
        <w:rPr>
          <w:sz w:val="24"/>
          <w:szCs w:val="24"/>
        </w:rPr>
        <w:t>http://www.zzbank.cn/menterprise/psy/201808/t20180831_6399.html</w:t>
      </w:r>
    </w:p>
    <w:p>
      <w:pPr>
        <w:ind w:firstLine="420" w:firstLineChars="200"/>
      </w:pPr>
    </w:p>
    <w:p>
      <w:pPr>
        <w:spacing w:line="360" w:lineRule="auto"/>
        <w:ind w:firstLine="480" w:firstLineChars="200"/>
        <w:rPr>
          <w:sz w:val="24"/>
          <w:szCs w:val="24"/>
        </w:rPr>
      </w:pPr>
    </w:p>
    <w:p>
      <w:pPr>
        <w:spacing w:line="360" w:lineRule="auto"/>
        <w:rPr>
          <w:sz w:val="24"/>
          <w:szCs w:val="24"/>
        </w:rPr>
      </w:pPr>
    </w:p>
    <w:p>
      <w:pPr>
        <w:spacing w:line="360" w:lineRule="auto"/>
        <w:rPr>
          <w:sz w:val="24"/>
          <w:szCs w:val="24"/>
        </w:rPr>
      </w:pPr>
    </w:p>
    <w:p>
      <w:pPr>
        <w:spacing w:line="360" w:lineRule="auto"/>
        <w:rPr>
          <w:sz w:val="24"/>
          <w:szCs w:val="24"/>
        </w:rPr>
      </w:pPr>
    </w:p>
    <w:sectPr>
      <w:footerReference r:id="rId5" w:type="first"/>
      <w:headerReference r:id="rId3" w:type="default"/>
      <w:footerReference r:id="rId4"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thinThickSmallGap" w:color="622423" w:themeColor="accent2" w:themeShade="7F" w:sz="24" w:space="1"/>
      </w:pBdr>
      <w:rPr>
        <w:rFonts w:asciiTheme="majorHAnsi" w:hAnsiTheme="majorHAnsi" w:eastAsiaTheme="majorEastAsia" w:cstheme="majorBidi"/>
      </w:rPr>
    </w:pPr>
    <w:r>
      <w:rPr>
        <w:rFonts w:hint="eastAsia" w:asciiTheme="majorHAnsi" w:hAnsiTheme="majorHAnsi" w:eastAsiaTheme="majorEastAsia" w:cstheme="majorBidi"/>
        <w:b/>
      </w:rPr>
      <w:t>河南万为项目咨询管理有限公司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3</w:t>
    </w:r>
    <w:r>
      <w:rPr>
        <w:rFonts w:asciiTheme="majorHAnsi" w:hAnsiTheme="majorHAnsi" w:eastAsiaTheme="majorEastAsia"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9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thickThinSmallGap" w:color="622423" w:themeColor="accent2" w:themeShade="7F" w:sz="24" w:space="1"/>
      </w:pBdr>
      <w:jc w:val="left"/>
      <w:rPr>
        <w:rFonts w:asciiTheme="majorHAnsi" w:hAnsiTheme="majorHAnsi" w:eastAsiaTheme="majorEastAsia" w:cstheme="majorBidi"/>
        <w:bCs/>
        <w:sz w:val="21"/>
        <w:szCs w:val="32"/>
      </w:rPr>
    </w:pPr>
    <w:r>
      <w:rPr>
        <w:rFonts w:hint="eastAsia" w:ascii="宋体" w:hAnsi="宋体" w:cs="宋体"/>
        <w:bCs/>
        <w:kern w:val="0"/>
        <w:szCs w:val="24"/>
        <w:lang w:val="zh-CN"/>
      </w:rPr>
      <w:t>郑州市第六十五中学实验室、录播室、学科教室、班级灯光设施设备采购项目</w:t>
    </w:r>
    <w:sdt>
      <w:sdtPr>
        <w:rPr>
          <w:rFonts w:asciiTheme="majorHAnsi" w:hAnsiTheme="majorHAnsi" w:eastAsiaTheme="majorEastAsia" w:cstheme="majorBidi"/>
          <w:bCs/>
          <w:szCs w:val="24"/>
        </w:rPr>
        <w:alias w:val="标题"/>
        <w:id w:val="77738743"/>
        <w:placeholder>
          <w:docPart w:val="D701315EDB774114B29368D51E9A69F1"/>
        </w:placeholder>
        <w:text/>
      </w:sdtPr>
      <w:sdtEndPr>
        <w:rPr>
          <w:rFonts w:asciiTheme="majorHAnsi" w:hAnsiTheme="majorHAnsi" w:eastAsiaTheme="majorEastAsia" w:cstheme="majorBidi"/>
          <w:bCs/>
          <w:sz w:val="21"/>
          <w:szCs w:val="32"/>
        </w:rPr>
      </w:sdtEndPr>
      <w:sdtContent>
        <w:r>
          <w:rPr>
            <w:rFonts w:hint="eastAsia" w:asciiTheme="majorHAnsi" w:hAnsiTheme="majorHAnsi" w:eastAsiaTheme="majorEastAsia" w:cstheme="majorBidi"/>
            <w:bCs/>
            <w:szCs w:val="24"/>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74B273"/>
    <w:multiLevelType w:val="singleLevel"/>
    <w:tmpl w:val="8F74B273"/>
    <w:lvl w:ilvl="0" w:tentative="0">
      <w:start w:val="1"/>
      <w:numFmt w:val="upperLetter"/>
      <w:suff w:val="space"/>
      <w:lvlText w:val="%1、"/>
      <w:lvlJc w:val="left"/>
    </w:lvl>
  </w:abstractNum>
  <w:abstractNum w:abstractNumId="1">
    <w:nsid w:val="980097B6"/>
    <w:multiLevelType w:val="singleLevel"/>
    <w:tmpl w:val="980097B6"/>
    <w:lvl w:ilvl="0" w:tentative="0">
      <w:start w:val="1"/>
      <w:numFmt w:val="decimal"/>
      <w:lvlText w:val="(%1)"/>
      <w:lvlJc w:val="left"/>
      <w:pPr>
        <w:ind w:left="845" w:hanging="425"/>
      </w:pPr>
      <w:rPr>
        <w:rFonts w:hint="default"/>
      </w:rPr>
    </w:lvl>
  </w:abstractNum>
  <w:abstractNum w:abstractNumId="2">
    <w:nsid w:val="BF558AB7"/>
    <w:multiLevelType w:val="singleLevel"/>
    <w:tmpl w:val="BF558AB7"/>
    <w:lvl w:ilvl="0" w:tentative="0">
      <w:start w:val="1"/>
      <w:numFmt w:val="decimal"/>
      <w:lvlText w:val="%1."/>
      <w:lvlJc w:val="left"/>
      <w:pPr>
        <w:tabs>
          <w:tab w:val="left" w:pos="312"/>
        </w:tabs>
      </w:pPr>
    </w:lvl>
  </w:abstractNum>
  <w:abstractNum w:abstractNumId="3">
    <w:nsid w:val="C39655B1"/>
    <w:multiLevelType w:val="singleLevel"/>
    <w:tmpl w:val="C39655B1"/>
    <w:lvl w:ilvl="0" w:tentative="0">
      <w:start w:val="1"/>
      <w:numFmt w:val="decimal"/>
      <w:lvlText w:val="%1."/>
      <w:lvlJc w:val="left"/>
      <w:pPr>
        <w:tabs>
          <w:tab w:val="left" w:pos="312"/>
        </w:tabs>
      </w:pPr>
    </w:lvl>
  </w:abstractNum>
  <w:abstractNum w:abstractNumId="4">
    <w:nsid w:val="CAEA13A7"/>
    <w:multiLevelType w:val="singleLevel"/>
    <w:tmpl w:val="CAEA13A7"/>
    <w:lvl w:ilvl="0" w:tentative="0">
      <w:start w:val="1"/>
      <w:numFmt w:val="chineseCounting"/>
      <w:lvlText w:val="%1."/>
      <w:lvlJc w:val="left"/>
      <w:pPr>
        <w:tabs>
          <w:tab w:val="left" w:pos="312"/>
        </w:tabs>
      </w:pPr>
      <w:rPr>
        <w:rFonts w:hint="eastAsia"/>
      </w:rPr>
    </w:lvl>
  </w:abstractNum>
  <w:abstractNum w:abstractNumId="5">
    <w:nsid w:val="CD7307F2"/>
    <w:multiLevelType w:val="singleLevel"/>
    <w:tmpl w:val="CD7307F2"/>
    <w:lvl w:ilvl="0" w:tentative="0">
      <w:start w:val="6"/>
      <w:numFmt w:val="chineseCounting"/>
      <w:suff w:val="space"/>
      <w:lvlText w:val="第%1章"/>
      <w:lvlJc w:val="left"/>
      <w:rPr>
        <w:rFonts w:hint="eastAsia"/>
      </w:rPr>
    </w:lvl>
  </w:abstractNum>
  <w:abstractNum w:abstractNumId="6">
    <w:nsid w:val="D5084587"/>
    <w:multiLevelType w:val="singleLevel"/>
    <w:tmpl w:val="D5084587"/>
    <w:lvl w:ilvl="0" w:tentative="0">
      <w:start w:val="2"/>
      <w:numFmt w:val="decimal"/>
      <w:lvlText w:val="%1."/>
      <w:lvlJc w:val="left"/>
      <w:pPr>
        <w:tabs>
          <w:tab w:val="left" w:pos="312"/>
        </w:tabs>
      </w:pPr>
    </w:lvl>
  </w:abstractNum>
  <w:abstractNum w:abstractNumId="7">
    <w:nsid w:val="E38344E7"/>
    <w:multiLevelType w:val="singleLevel"/>
    <w:tmpl w:val="E38344E7"/>
    <w:lvl w:ilvl="0" w:tentative="0">
      <w:start w:val="1"/>
      <w:numFmt w:val="decimal"/>
      <w:lvlText w:val="(%1)"/>
      <w:lvlJc w:val="left"/>
      <w:pPr>
        <w:ind w:left="425" w:hanging="425"/>
      </w:pPr>
      <w:rPr>
        <w:rFonts w:hint="default"/>
      </w:rPr>
    </w:lvl>
  </w:abstractNum>
  <w:abstractNum w:abstractNumId="8">
    <w:nsid w:val="E3DFC5DD"/>
    <w:multiLevelType w:val="singleLevel"/>
    <w:tmpl w:val="E3DFC5DD"/>
    <w:lvl w:ilvl="0" w:tentative="0">
      <w:start w:val="1"/>
      <w:numFmt w:val="lowerLetter"/>
      <w:lvlText w:val="%1."/>
      <w:lvlJc w:val="left"/>
      <w:pPr>
        <w:ind w:left="425" w:hanging="425"/>
      </w:pPr>
      <w:rPr>
        <w:rFonts w:hint="default"/>
      </w:rPr>
    </w:lvl>
  </w:abstractNum>
  <w:abstractNum w:abstractNumId="9">
    <w:nsid w:val="FFCDA79F"/>
    <w:multiLevelType w:val="singleLevel"/>
    <w:tmpl w:val="FFCDA79F"/>
    <w:lvl w:ilvl="0" w:tentative="0">
      <w:start w:val="1"/>
      <w:numFmt w:val="lowerLetter"/>
      <w:lvlText w:val="%1."/>
      <w:lvlJc w:val="left"/>
      <w:pPr>
        <w:ind w:left="425" w:hanging="425"/>
      </w:pPr>
      <w:rPr>
        <w:rFonts w:hint="default"/>
      </w:rPr>
    </w:lvl>
  </w:abstractNum>
  <w:abstractNum w:abstractNumId="10">
    <w:nsid w:val="1CCCD04B"/>
    <w:multiLevelType w:val="singleLevel"/>
    <w:tmpl w:val="1CCCD04B"/>
    <w:lvl w:ilvl="0" w:tentative="0">
      <w:start w:val="3"/>
      <w:numFmt w:val="decimal"/>
      <w:suff w:val="nothing"/>
      <w:lvlText w:val="%1、"/>
      <w:lvlJc w:val="left"/>
    </w:lvl>
  </w:abstractNum>
  <w:abstractNum w:abstractNumId="11">
    <w:nsid w:val="26DC0ADB"/>
    <w:multiLevelType w:val="singleLevel"/>
    <w:tmpl w:val="26DC0ADB"/>
    <w:lvl w:ilvl="0" w:tentative="0">
      <w:start w:val="1"/>
      <w:numFmt w:val="decimal"/>
      <w:suff w:val="nothing"/>
      <w:lvlText w:val="（%1）"/>
      <w:lvlJc w:val="left"/>
    </w:lvl>
  </w:abstractNum>
  <w:abstractNum w:abstractNumId="12">
    <w:nsid w:val="30615FA7"/>
    <w:multiLevelType w:val="singleLevel"/>
    <w:tmpl w:val="30615FA7"/>
    <w:lvl w:ilvl="0" w:tentative="0">
      <w:start w:val="1"/>
      <w:numFmt w:val="chineseCounting"/>
      <w:lvlText w:val="%1."/>
      <w:lvlJc w:val="left"/>
      <w:pPr>
        <w:tabs>
          <w:tab w:val="left" w:pos="312"/>
        </w:tabs>
      </w:pPr>
      <w:rPr>
        <w:rFonts w:hint="eastAsia"/>
      </w:rPr>
    </w:lvl>
  </w:abstractNum>
  <w:abstractNum w:abstractNumId="13">
    <w:nsid w:val="477828F5"/>
    <w:multiLevelType w:val="singleLevel"/>
    <w:tmpl w:val="477828F5"/>
    <w:lvl w:ilvl="0" w:tentative="0">
      <w:start w:val="7"/>
      <w:numFmt w:val="chineseCounting"/>
      <w:suff w:val="nothing"/>
      <w:lvlText w:val="%1、"/>
      <w:lvlJc w:val="left"/>
      <w:rPr>
        <w:rFonts w:hint="eastAsia"/>
      </w:rPr>
    </w:lvl>
  </w:abstractNum>
  <w:abstractNum w:abstractNumId="14">
    <w:nsid w:val="5E9D3276"/>
    <w:multiLevelType w:val="singleLevel"/>
    <w:tmpl w:val="5E9D3276"/>
    <w:lvl w:ilvl="0" w:tentative="0">
      <w:start w:val="1"/>
      <w:numFmt w:val="decimal"/>
      <w:lvlText w:val="%1."/>
      <w:lvlJc w:val="left"/>
      <w:pPr>
        <w:tabs>
          <w:tab w:val="left" w:pos="312"/>
        </w:tabs>
      </w:pPr>
    </w:lvl>
  </w:abstractNum>
  <w:abstractNum w:abstractNumId="15">
    <w:nsid w:val="67AD2F18"/>
    <w:multiLevelType w:val="multilevel"/>
    <w:tmpl w:val="67AD2F18"/>
    <w:lvl w:ilvl="0" w:tentative="0">
      <w:start w:val="1"/>
      <w:numFmt w:val="japaneseCounting"/>
      <w:lvlText w:val="第%1章"/>
      <w:lvlJc w:val="left"/>
      <w:pPr>
        <w:ind w:left="1120" w:hanging="11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872BC82"/>
    <w:multiLevelType w:val="singleLevel"/>
    <w:tmpl w:val="6872BC82"/>
    <w:lvl w:ilvl="0" w:tentative="0">
      <w:start w:val="3"/>
      <w:numFmt w:val="chineseCounting"/>
      <w:suff w:val="nothing"/>
      <w:lvlText w:val="%1、"/>
      <w:lvlJc w:val="left"/>
      <w:rPr>
        <w:rFonts w:hint="eastAsia"/>
      </w:rPr>
    </w:lvl>
  </w:abstractNum>
  <w:num w:numId="1">
    <w:abstractNumId w:val="15"/>
  </w:num>
  <w:num w:numId="2">
    <w:abstractNumId w:val="13"/>
  </w:num>
  <w:num w:numId="3">
    <w:abstractNumId w:val="7"/>
  </w:num>
  <w:num w:numId="4">
    <w:abstractNumId w:val="10"/>
  </w:num>
  <w:num w:numId="5">
    <w:abstractNumId w:val="9"/>
  </w:num>
  <w:num w:numId="6">
    <w:abstractNumId w:val="8"/>
  </w:num>
  <w:num w:numId="7">
    <w:abstractNumId w:val="1"/>
  </w:num>
  <w:num w:numId="8">
    <w:abstractNumId w:val="6"/>
  </w:num>
  <w:num w:numId="9">
    <w:abstractNumId w:val="16"/>
  </w:num>
  <w:num w:numId="10">
    <w:abstractNumId w:val="5"/>
  </w:num>
  <w:num w:numId="11">
    <w:abstractNumId w:val="0"/>
  </w:num>
  <w:num w:numId="12">
    <w:abstractNumId w:val="3"/>
  </w:num>
  <w:num w:numId="13">
    <w:abstractNumId w:val="12"/>
  </w:num>
  <w:num w:numId="14">
    <w:abstractNumId w:val="4"/>
  </w:num>
  <w:num w:numId="15">
    <w:abstractNumId w:val="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jOWE1MWJjOTc4MTAxZGU3YTY4ODg2NGQxZmE3MGMifQ=="/>
  </w:docVars>
  <w:rsids>
    <w:rsidRoot w:val="0081599F"/>
    <w:rsid w:val="00001C72"/>
    <w:rsid w:val="00001F74"/>
    <w:rsid w:val="00002044"/>
    <w:rsid w:val="00006418"/>
    <w:rsid w:val="00007B73"/>
    <w:rsid w:val="00011F18"/>
    <w:rsid w:val="00013846"/>
    <w:rsid w:val="00014AFE"/>
    <w:rsid w:val="000151A2"/>
    <w:rsid w:val="000214E8"/>
    <w:rsid w:val="000216CB"/>
    <w:rsid w:val="000222C1"/>
    <w:rsid w:val="0002268A"/>
    <w:rsid w:val="00023EC0"/>
    <w:rsid w:val="000248F6"/>
    <w:rsid w:val="00024D78"/>
    <w:rsid w:val="00026743"/>
    <w:rsid w:val="000349AF"/>
    <w:rsid w:val="00037BCB"/>
    <w:rsid w:val="00037E89"/>
    <w:rsid w:val="00040263"/>
    <w:rsid w:val="0004043C"/>
    <w:rsid w:val="00040986"/>
    <w:rsid w:val="0004148C"/>
    <w:rsid w:val="00043352"/>
    <w:rsid w:val="00044CE9"/>
    <w:rsid w:val="00047B0D"/>
    <w:rsid w:val="00052EC4"/>
    <w:rsid w:val="00053C80"/>
    <w:rsid w:val="000548D4"/>
    <w:rsid w:val="00054CD2"/>
    <w:rsid w:val="00056124"/>
    <w:rsid w:val="00060F1F"/>
    <w:rsid w:val="00062100"/>
    <w:rsid w:val="00062D24"/>
    <w:rsid w:val="00065873"/>
    <w:rsid w:val="00066C87"/>
    <w:rsid w:val="00067034"/>
    <w:rsid w:val="00067C64"/>
    <w:rsid w:val="00074631"/>
    <w:rsid w:val="000807FB"/>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B46DD"/>
    <w:rsid w:val="000B54CB"/>
    <w:rsid w:val="000B630C"/>
    <w:rsid w:val="000B655F"/>
    <w:rsid w:val="000B6D63"/>
    <w:rsid w:val="000C1569"/>
    <w:rsid w:val="000C3B6F"/>
    <w:rsid w:val="000C3CF5"/>
    <w:rsid w:val="000C5150"/>
    <w:rsid w:val="000C604F"/>
    <w:rsid w:val="000C6524"/>
    <w:rsid w:val="000D206B"/>
    <w:rsid w:val="000D3AF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90D"/>
    <w:rsid w:val="001750F6"/>
    <w:rsid w:val="00175AE8"/>
    <w:rsid w:val="00177715"/>
    <w:rsid w:val="001822E7"/>
    <w:rsid w:val="0018249E"/>
    <w:rsid w:val="00186AE9"/>
    <w:rsid w:val="00187CDC"/>
    <w:rsid w:val="00187EFF"/>
    <w:rsid w:val="00190FCE"/>
    <w:rsid w:val="00191956"/>
    <w:rsid w:val="00191F40"/>
    <w:rsid w:val="00195C2D"/>
    <w:rsid w:val="001A3338"/>
    <w:rsid w:val="001A33FC"/>
    <w:rsid w:val="001A4986"/>
    <w:rsid w:val="001A6860"/>
    <w:rsid w:val="001A7654"/>
    <w:rsid w:val="001B2147"/>
    <w:rsid w:val="001B2337"/>
    <w:rsid w:val="001B2939"/>
    <w:rsid w:val="001B452F"/>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0674"/>
    <w:rsid w:val="002B17D3"/>
    <w:rsid w:val="002B2327"/>
    <w:rsid w:val="002B3EA4"/>
    <w:rsid w:val="002B49AD"/>
    <w:rsid w:val="002B5C0B"/>
    <w:rsid w:val="002B633F"/>
    <w:rsid w:val="002B6455"/>
    <w:rsid w:val="002C1F74"/>
    <w:rsid w:val="002C3CC5"/>
    <w:rsid w:val="002C3E18"/>
    <w:rsid w:val="002C40FB"/>
    <w:rsid w:val="002C7324"/>
    <w:rsid w:val="002D5EDF"/>
    <w:rsid w:val="002D7BF0"/>
    <w:rsid w:val="002E0316"/>
    <w:rsid w:val="002E2AF8"/>
    <w:rsid w:val="002E6056"/>
    <w:rsid w:val="002F23D1"/>
    <w:rsid w:val="002F3478"/>
    <w:rsid w:val="002F3E8C"/>
    <w:rsid w:val="002F45A1"/>
    <w:rsid w:val="003003EE"/>
    <w:rsid w:val="003027A0"/>
    <w:rsid w:val="0030320F"/>
    <w:rsid w:val="003045C7"/>
    <w:rsid w:val="00312AA2"/>
    <w:rsid w:val="00314270"/>
    <w:rsid w:val="00317C5E"/>
    <w:rsid w:val="00320B1B"/>
    <w:rsid w:val="00322717"/>
    <w:rsid w:val="00326EC3"/>
    <w:rsid w:val="00327A14"/>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13B"/>
    <w:rsid w:val="0035731A"/>
    <w:rsid w:val="0036248D"/>
    <w:rsid w:val="0036413C"/>
    <w:rsid w:val="00364F02"/>
    <w:rsid w:val="003654B6"/>
    <w:rsid w:val="00366D70"/>
    <w:rsid w:val="00372071"/>
    <w:rsid w:val="00373B09"/>
    <w:rsid w:val="00374317"/>
    <w:rsid w:val="00377325"/>
    <w:rsid w:val="00381C09"/>
    <w:rsid w:val="00382406"/>
    <w:rsid w:val="00384B7E"/>
    <w:rsid w:val="0038579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59AF"/>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060"/>
    <w:rsid w:val="005312D3"/>
    <w:rsid w:val="005342A6"/>
    <w:rsid w:val="00536684"/>
    <w:rsid w:val="00537422"/>
    <w:rsid w:val="0054395C"/>
    <w:rsid w:val="005441CC"/>
    <w:rsid w:val="005520EC"/>
    <w:rsid w:val="00553C98"/>
    <w:rsid w:val="005541FB"/>
    <w:rsid w:val="00556FE0"/>
    <w:rsid w:val="005578AE"/>
    <w:rsid w:val="00561DBC"/>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C6A0B"/>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688F"/>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6D9D"/>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446DF"/>
    <w:rsid w:val="0065240A"/>
    <w:rsid w:val="00653EE9"/>
    <w:rsid w:val="0065430B"/>
    <w:rsid w:val="0065695E"/>
    <w:rsid w:val="00656ED7"/>
    <w:rsid w:val="0066034D"/>
    <w:rsid w:val="006624C8"/>
    <w:rsid w:val="00662676"/>
    <w:rsid w:val="00662F2F"/>
    <w:rsid w:val="006656FE"/>
    <w:rsid w:val="00666A3F"/>
    <w:rsid w:val="00667878"/>
    <w:rsid w:val="00667935"/>
    <w:rsid w:val="006704B8"/>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4F6F"/>
    <w:rsid w:val="007A5974"/>
    <w:rsid w:val="007B2F62"/>
    <w:rsid w:val="007C1508"/>
    <w:rsid w:val="007C32A4"/>
    <w:rsid w:val="007C3BA3"/>
    <w:rsid w:val="007C75FA"/>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0441C"/>
    <w:rsid w:val="0081116B"/>
    <w:rsid w:val="008116DC"/>
    <w:rsid w:val="008120B2"/>
    <w:rsid w:val="00814C63"/>
    <w:rsid w:val="008156D5"/>
    <w:rsid w:val="0081599F"/>
    <w:rsid w:val="008174A6"/>
    <w:rsid w:val="00817B58"/>
    <w:rsid w:val="00823508"/>
    <w:rsid w:val="00825473"/>
    <w:rsid w:val="00825D4B"/>
    <w:rsid w:val="00826C55"/>
    <w:rsid w:val="00830B26"/>
    <w:rsid w:val="0083145B"/>
    <w:rsid w:val="008339E8"/>
    <w:rsid w:val="0083416F"/>
    <w:rsid w:val="00834D01"/>
    <w:rsid w:val="00834EE8"/>
    <w:rsid w:val="00836E9B"/>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5E4E"/>
    <w:rsid w:val="00897366"/>
    <w:rsid w:val="00897E23"/>
    <w:rsid w:val="008A2EB4"/>
    <w:rsid w:val="008A52E6"/>
    <w:rsid w:val="008A5B38"/>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111D"/>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8A4"/>
    <w:rsid w:val="009A700B"/>
    <w:rsid w:val="009B0CCB"/>
    <w:rsid w:val="009B0D79"/>
    <w:rsid w:val="009B22E2"/>
    <w:rsid w:val="009B2654"/>
    <w:rsid w:val="009B2785"/>
    <w:rsid w:val="009B3868"/>
    <w:rsid w:val="009B4867"/>
    <w:rsid w:val="009B4CF7"/>
    <w:rsid w:val="009B592F"/>
    <w:rsid w:val="009B6119"/>
    <w:rsid w:val="009C0FCA"/>
    <w:rsid w:val="009C35E7"/>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639C"/>
    <w:rsid w:val="00A26992"/>
    <w:rsid w:val="00A306B5"/>
    <w:rsid w:val="00A32F50"/>
    <w:rsid w:val="00A33879"/>
    <w:rsid w:val="00A3423C"/>
    <w:rsid w:val="00A34346"/>
    <w:rsid w:val="00A3740E"/>
    <w:rsid w:val="00A404B2"/>
    <w:rsid w:val="00A44A54"/>
    <w:rsid w:val="00A45BE7"/>
    <w:rsid w:val="00A517C9"/>
    <w:rsid w:val="00A52D43"/>
    <w:rsid w:val="00A5432D"/>
    <w:rsid w:val="00A547CE"/>
    <w:rsid w:val="00A54A97"/>
    <w:rsid w:val="00A56ABC"/>
    <w:rsid w:val="00A60D94"/>
    <w:rsid w:val="00A6262D"/>
    <w:rsid w:val="00A6294B"/>
    <w:rsid w:val="00A62FB5"/>
    <w:rsid w:val="00A63C23"/>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43DD"/>
    <w:rsid w:val="00AE0FE0"/>
    <w:rsid w:val="00AE1D32"/>
    <w:rsid w:val="00AE2506"/>
    <w:rsid w:val="00AE27E3"/>
    <w:rsid w:val="00AE29DE"/>
    <w:rsid w:val="00AE6F6B"/>
    <w:rsid w:val="00AE6FB4"/>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6A94"/>
    <w:rsid w:val="00CB7D04"/>
    <w:rsid w:val="00CC2E9E"/>
    <w:rsid w:val="00CC470A"/>
    <w:rsid w:val="00CD023B"/>
    <w:rsid w:val="00CD5F9F"/>
    <w:rsid w:val="00CD7EA0"/>
    <w:rsid w:val="00CE0517"/>
    <w:rsid w:val="00CE19E7"/>
    <w:rsid w:val="00CE242E"/>
    <w:rsid w:val="00CE29C4"/>
    <w:rsid w:val="00CE38C9"/>
    <w:rsid w:val="00CE457A"/>
    <w:rsid w:val="00CE6E0C"/>
    <w:rsid w:val="00CF2B3B"/>
    <w:rsid w:val="00CF51E3"/>
    <w:rsid w:val="00D01F2D"/>
    <w:rsid w:val="00D027ED"/>
    <w:rsid w:val="00D03CDD"/>
    <w:rsid w:val="00D0559D"/>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B775D"/>
    <w:rsid w:val="00DC4B5E"/>
    <w:rsid w:val="00DC5632"/>
    <w:rsid w:val="00DD2298"/>
    <w:rsid w:val="00DD3973"/>
    <w:rsid w:val="00DD39A8"/>
    <w:rsid w:val="00DD561D"/>
    <w:rsid w:val="00DD5920"/>
    <w:rsid w:val="00DD66F2"/>
    <w:rsid w:val="00DD69E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10330"/>
    <w:rsid w:val="00E10D7D"/>
    <w:rsid w:val="00E139E3"/>
    <w:rsid w:val="00E147C7"/>
    <w:rsid w:val="00E17076"/>
    <w:rsid w:val="00E213EE"/>
    <w:rsid w:val="00E22235"/>
    <w:rsid w:val="00E241C6"/>
    <w:rsid w:val="00E25B2C"/>
    <w:rsid w:val="00E3064C"/>
    <w:rsid w:val="00E30C0A"/>
    <w:rsid w:val="00E30D00"/>
    <w:rsid w:val="00E31218"/>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7FD3"/>
    <w:rsid w:val="00E90138"/>
    <w:rsid w:val="00E94A5D"/>
    <w:rsid w:val="00E97A3A"/>
    <w:rsid w:val="00E97F6C"/>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6F84"/>
    <w:rsid w:val="00F71BE2"/>
    <w:rsid w:val="00F72102"/>
    <w:rsid w:val="00F7258E"/>
    <w:rsid w:val="00F73762"/>
    <w:rsid w:val="00F73904"/>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0461"/>
    <w:rsid w:val="00FE15A7"/>
    <w:rsid w:val="00FE49F8"/>
    <w:rsid w:val="00FE4A8B"/>
    <w:rsid w:val="00FE5FCF"/>
    <w:rsid w:val="00FE7B0E"/>
    <w:rsid w:val="00FF2B65"/>
    <w:rsid w:val="00FF3E60"/>
    <w:rsid w:val="00FF46D1"/>
    <w:rsid w:val="00FF49AD"/>
    <w:rsid w:val="014C3441"/>
    <w:rsid w:val="01CD7566"/>
    <w:rsid w:val="024A32E9"/>
    <w:rsid w:val="02A41583"/>
    <w:rsid w:val="03D64DF8"/>
    <w:rsid w:val="03F32BAC"/>
    <w:rsid w:val="04273552"/>
    <w:rsid w:val="045441F3"/>
    <w:rsid w:val="04671EF4"/>
    <w:rsid w:val="0469583E"/>
    <w:rsid w:val="04B0714F"/>
    <w:rsid w:val="04FB7722"/>
    <w:rsid w:val="055C20DC"/>
    <w:rsid w:val="05C212BC"/>
    <w:rsid w:val="05FD5B66"/>
    <w:rsid w:val="06381496"/>
    <w:rsid w:val="06533EC6"/>
    <w:rsid w:val="06537B56"/>
    <w:rsid w:val="06542106"/>
    <w:rsid w:val="06BA0DDD"/>
    <w:rsid w:val="06F37760"/>
    <w:rsid w:val="074E3AA1"/>
    <w:rsid w:val="07571DAC"/>
    <w:rsid w:val="076170CE"/>
    <w:rsid w:val="077262FE"/>
    <w:rsid w:val="07807F76"/>
    <w:rsid w:val="07A6504F"/>
    <w:rsid w:val="07E31891"/>
    <w:rsid w:val="081128A2"/>
    <w:rsid w:val="082864B5"/>
    <w:rsid w:val="086808E2"/>
    <w:rsid w:val="087A0447"/>
    <w:rsid w:val="08803584"/>
    <w:rsid w:val="08B407EF"/>
    <w:rsid w:val="08BA0B74"/>
    <w:rsid w:val="08DB6A0C"/>
    <w:rsid w:val="094F481A"/>
    <w:rsid w:val="094F6865"/>
    <w:rsid w:val="096017F4"/>
    <w:rsid w:val="099A74AA"/>
    <w:rsid w:val="09CA1EED"/>
    <w:rsid w:val="09EB0422"/>
    <w:rsid w:val="0A157CFC"/>
    <w:rsid w:val="0A7F0917"/>
    <w:rsid w:val="0AD91C61"/>
    <w:rsid w:val="0B4E5A61"/>
    <w:rsid w:val="0B550CF8"/>
    <w:rsid w:val="0B6616EB"/>
    <w:rsid w:val="0B786794"/>
    <w:rsid w:val="0BAB4DBC"/>
    <w:rsid w:val="0BC67500"/>
    <w:rsid w:val="0BCD088E"/>
    <w:rsid w:val="0BDE00AF"/>
    <w:rsid w:val="0C2675E6"/>
    <w:rsid w:val="0C3A5E99"/>
    <w:rsid w:val="0C8C1106"/>
    <w:rsid w:val="0CF10AD0"/>
    <w:rsid w:val="0D0C15A1"/>
    <w:rsid w:val="0D0E5602"/>
    <w:rsid w:val="0D207BE3"/>
    <w:rsid w:val="0D434636"/>
    <w:rsid w:val="0D4738C8"/>
    <w:rsid w:val="0D692839"/>
    <w:rsid w:val="0DA66B93"/>
    <w:rsid w:val="0DAF51F7"/>
    <w:rsid w:val="0DD24882"/>
    <w:rsid w:val="0E0B7D94"/>
    <w:rsid w:val="0E30791C"/>
    <w:rsid w:val="0E4C4D50"/>
    <w:rsid w:val="0E4D5CB6"/>
    <w:rsid w:val="0E603A9C"/>
    <w:rsid w:val="0E9D1879"/>
    <w:rsid w:val="0E9E5723"/>
    <w:rsid w:val="0F383104"/>
    <w:rsid w:val="0F6072F5"/>
    <w:rsid w:val="0F960D4A"/>
    <w:rsid w:val="0FBD1A3F"/>
    <w:rsid w:val="0FFF7484"/>
    <w:rsid w:val="102124D3"/>
    <w:rsid w:val="103A0B86"/>
    <w:rsid w:val="104D26B4"/>
    <w:rsid w:val="10E37306"/>
    <w:rsid w:val="10FC5E0D"/>
    <w:rsid w:val="110B5EB5"/>
    <w:rsid w:val="11674128"/>
    <w:rsid w:val="11B55A0E"/>
    <w:rsid w:val="11B75770"/>
    <w:rsid w:val="120C4803"/>
    <w:rsid w:val="1286762D"/>
    <w:rsid w:val="12974979"/>
    <w:rsid w:val="129E2F84"/>
    <w:rsid w:val="13070B2A"/>
    <w:rsid w:val="13C77DC3"/>
    <w:rsid w:val="13DE2CF5"/>
    <w:rsid w:val="13EA5200"/>
    <w:rsid w:val="148265F0"/>
    <w:rsid w:val="14FF122B"/>
    <w:rsid w:val="15D53B8A"/>
    <w:rsid w:val="15DA0777"/>
    <w:rsid w:val="15F14CE5"/>
    <w:rsid w:val="1617304A"/>
    <w:rsid w:val="161B4F15"/>
    <w:rsid w:val="163360DA"/>
    <w:rsid w:val="169362CF"/>
    <w:rsid w:val="169A2B53"/>
    <w:rsid w:val="16ED09C9"/>
    <w:rsid w:val="17113815"/>
    <w:rsid w:val="17651AEB"/>
    <w:rsid w:val="17A42811"/>
    <w:rsid w:val="17B52034"/>
    <w:rsid w:val="180531C8"/>
    <w:rsid w:val="180C0F1F"/>
    <w:rsid w:val="181F682C"/>
    <w:rsid w:val="184620F4"/>
    <w:rsid w:val="18EE17C0"/>
    <w:rsid w:val="19595F04"/>
    <w:rsid w:val="19665EE9"/>
    <w:rsid w:val="196D1903"/>
    <w:rsid w:val="19796E86"/>
    <w:rsid w:val="19A11619"/>
    <w:rsid w:val="19F142E2"/>
    <w:rsid w:val="19F7370F"/>
    <w:rsid w:val="1A006F52"/>
    <w:rsid w:val="1A280D9B"/>
    <w:rsid w:val="1A5C7D7A"/>
    <w:rsid w:val="1AA2382E"/>
    <w:rsid w:val="1AC05A8A"/>
    <w:rsid w:val="1AF62E44"/>
    <w:rsid w:val="1AFE56FC"/>
    <w:rsid w:val="1B41737E"/>
    <w:rsid w:val="1BBC3DFE"/>
    <w:rsid w:val="1BDF2ED8"/>
    <w:rsid w:val="1C1147C7"/>
    <w:rsid w:val="1C991009"/>
    <w:rsid w:val="1CA93AF4"/>
    <w:rsid w:val="1CC35E00"/>
    <w:rsid w:val="1CC621F8"/>
    <w:rsid w:val="1D005D31"/>
    <w:rsid w:val="1D1D0F4A"/>
    <w:rsid w:val="1D660BA4"/>
    <w:rsid w:val="1D7EAB62"/>
    <w:rsid w:val="1E215DAF"/>
    <w:rsid w:val="1E263141"/>
    <w:rsid w:val="1E652BA8"/>
    <w:rsid w:val="1E8108FE"/>
    <w:rsid w:val="1EA731C1"/>
    <w:rsid w:val="1ECA6EAF"/>
    <w:rsid w:val="1EDC6C10"/>
    <w:rsid w:val="1EE14CE9"/>
    <w:rsid w:val="1F0E3240"/>
    <w:rsid w:val="1F193FA4"/>
    <w:rsid w:val="1F35573C"/>
    <w:rsid w:val="1F4849A4"/>
    <w:rsid w:val="1F64306C"/>
    <w:rsid w:val="1F92646F"/>
    <w:rsid w:val="1FF05620"/>
    <w:rsid w:val="1FFCF776"/>
    <w:rsid w:val="1FFD7B91"/>
    <w:rsid w:val="1FFE0878"/>
    <w:rsid w:val="203950E8"/>
    <w:rsid w:val="20A76F70"/>
    <w:rsid w:val="20D34741"/>
    <w:rsid w:val="20EF0551"/>
    <w:rsid w:val="21244F9D"/>
    <w:rsid w:val="21515666"/>
    <w:rsid w:val="21674E89"/>
    <w:rsid w:val="221B014E"/>
    <w:rsid w:val="2258379E"/>
    <w:rsid w:val="229D6DB5"/>
    <w:rsid w:val="22BB46CF"/>
    <w:rsid w:val="22D10020"/>
    <w:rsid w:val="235D099A"/>
    <w:rsid w:val="240864B0"/>
    <w:rsid w:val="245A486E"/>
    <w:rsid w:val="24B83B8C"/>
    <w:rsid w:val="24CF3471"/>
    <w:rsid w:val="25893620"/>
    <w:rsid w:val="25AC4CBA"/>
    <w:rsid w:val="25EC3BAF"/>
    <w:rsid w:val="26444389"/>
    <w:rsid w:val="26AE0814"/>
    <w:rsid w:val="26ED2F39"/>
    <w:rsid w:val="26EF5F67"/>
    <w:rsid w:val="26F9151C"/>
    <w:rsid w:val="275935DA"/>
    <w:rsid w:val="27F84A8D"/>
    <w:rsid w:val="285C14C0"/>
    <w:rsid w:val="286979C1"/>
    <w:rsid w:val="2898760C"/>
    <w:rsid w:val="28A169ED"/>
    <w:rsid w:val="28B46C06"/>
    <w:rsid w:val="29051C33"/>
    <w:rsid w:val="296D5007"/>
    <w:rsid w:val="298B1709"/>
    <w:rsid w:val="29943E6A"/>
    <w:rsid w:val="29F319B0"/>
    <w:rsid w:val="2A0B4CC0"/>
    <w:rsid w:val="2A297180"/>
    <w:rsid w:val="2A573CED"/>
    <w:rsid w:val="2A590825"/>
    <w:rsid w:val="2A961B94"/>
    <w:rsid w:val="2A97027B"/>
    <w:rsid w:val="2A9D36CA"/>
    <w:rsid w:val="2AA75D9B"/>
    <w:rsid w:val="2AE35581"/>
    <w:rsid w:val="2AE61149"/>
    <w:rsid w:val="2B230073"/>
    <w:rsid w:val="2B2A1401"/>
    <w:rsid w:val="2B9E594C"/>
    <w:rsid w:val="2BAE3DE1"/>
    <w:rsid w:val="2BBFF617"/>
    <w:rsid w:val="2BFD2672"/>
    <w:rsid w:val="2C0559CB"/>
    <w:rsid w:val="2C3B319A"/>
    <w:rsid w:val="2C7D37B3"/>
    <w:rsid w:val="2CAD4098"/>
    <w:rsid w:val="2CE13D42"/>
    <w:rsid w:val="2D1729C0"/>
    <w:rsid w:val="2D5C5ABE"/>
    <w:rsid w:val="2D5E0D01"/>
    <w:rsid w:val="2D9139BA"/>
    <w:rsid w:val="2DAC2D48"/>
    <w:rsid w:val="2DB11966"/>
    <w:rsid w:val="2E43ADDA"/>
    <w:rsid w:val="2E862DF3"/>
    <w:rsid w:val="2E9574DA"/>
    <w:rsid w:val="2EC54CB0"/>
    <w:rsid w:val="2F2F348A"/>
    <w:rsid w:val="2F5C3B54"/>
    <w:rsid w:val="2F8165BD"/>
    <w:rsid w:val="2F9161FF"/>
    <w:rsid w:val="2FC319E8"/>
    <w:rsid w:val="3126266B"/>
    <w:rsid w:val="314307E5"/>
    <w:rsid w:val="314C707A"/>
    <w:rsid w:val="315B3E9C"/>
    <w:rsid w:val="31BC6B2B"/>
    <w:rsid w:val="32052280"/>
    <w:rsid w:val="32186C6B"/>
    <w:rsid w:val="322270B1"/>
    <w:rsid w:val="3226690F"/>
    <w:rsid w:val="32A215FF"/>
    <w:rsid w:val="32B92D89"/>
    <w:rsid w:val="32D20BBF"/>
    <w:rsid w:val="32E225C2"/>
    <w:rsid w:val="32E61DB5"/>
    <w:rsid w:val="335C63FE"/>
    <w:rsid w:val="337A40F4"/>
    <w:rsid w:val="339750BD"/>
    <w:rsid w:val="33B4492C"/>
    <w:rsid w:val="33CC66C0"/>
    <w:rsid w:val="33F51CCF"/>
    <w:rsid w:val="340C598E"/>
    <w:rsid w:val="34312369"/>
    <w:rsid w:val="349140DB"/>
    <w:rsid w:val="34914FCD"/>
    <w:rsid w:val="34B41877"/>
    <w:rsid w:val="34B85CD0"/>
    <w:rsid w:val="34CD7FBA"/>
    <w:rsid w:val="358931C8"/>
    <w:rsid w:val="35D2703F"/>
    <w:rsid w:val="36127662"/>
    <w:rsid w:val="361B02C4"/>
    <w:rsid w:val="36471A85"/>
    <w:rsid w:val="365E46EA"/>
    <w:rsid w:val="36B129D7"/>
    <w:rsid w:val="36E2410D"/>
    <w:rsid w:val="372C1456"/>
    <w:rsid w:val="37985581"/>
    <w:rsid w:val="37A756FD"/>
    <w:rsid w:val="37B704C1"/>
    <w:rsid w:val="37B7AE68"/>
    <w:rsid w:val="37E9D6CA"/>
    <w:rsid w:val="37F255AD"/>
    <w:rsid w:val="37F75750"/>
    <w:rsid w:val="381C47C8"/>
    <w:rsid w:val="384B44A4"/>
    <w:rsid w:val="385365E5"/>
    <w:rsid w:val="38591578"/>
    <w:rsid w:val="38790DCF"/>
    <w:rsid w:val="38977A54"/>
    <w:rsid w:val="389E3764"/>
    <w:rsid w:val="39103E24"/>
    <w:rsid w:val="39475874"/>
    <w:rsid w:val="39693A3D"/>
    <w:rsid w:val="39924D42"/>
    <w:rsid w:val="39B71F20"/>
    <w:rsid w:val="39FB3010"/>
    <w:rsid w:val="3ADC4454"/>
    <w:rsid w:val="3AF34676"/>
    <w:rsid w:val="3AFDFCEA"/>
    <w:rsid w:val="3B141786"/>
    <w:rsid w:val="3B1C2CC2"/>
    <w:rsid w:val="3B7D43F6"/>
    <w:rsid w:val="3B810EE2"/>
    <w:rsid w:val="3BD15E3E"/>
    <w:rsid w:val="3BFBCC53"/>
    <w:rsid w:val="3BFE5DE5"/>
    <w:rsid w:val="3BFFEDD6"/>
    <w:rsid w:val="3C5C7A17"/>
    <w:rsid w:val="3C6407B5"/>
    <w:rsid w:val="3CB32E5D"/>
    <w:rsid w:val="3D263AE1"/>
    <w:rsid w:val="3D2B69BB"/>
    <w:rsid w:val="3D2C725B"/>
    <w:rsid w:val="3D477BF1"/>
    <w:rsid w:val="3D950B09"/>
    <w:rsid w:val="3DB96516"/>
    <w:rsid w:val="3DF44C30"/>
    <w:rsid w:val="3DFB9D05"/>
    <w:rsid w:val="3E0922B4"/>
    <w:rsid w:val="3E175815"/>
    <w:rsid w:val="3E43485C"/>
    <w:rsid w:val="3E7E3189"/>
    <w:rsid w:val="3E99447C"/>
    <w:rsid w:val="3EAD4507"/>
    <w:rsid w:val="3ECA0DF0"/>
    <w:rsid w:val="3EDD8252"/>
    <w:rsid w:val="3F5F115B"/>
    <w:rsid w:val="3F815467"/>
    <w:rsid w:val="3FAE974A"/>
    <w:rsid w:val="3FAF7569"/>
    <w:rsid w:val="3FBB0439"/>
    <w:rsid w:val="3FBD063E"/>
    <w:rsid w:val="3FE81BAF"/>
    <w:rsid w:val="3FEFEE89"/>
    <w:rsid w:val="400E517B"/>
    <w:rsid w:val="402A0A9B"/>
    <w:rsid w:val="40864ED4"/>
    <w:rsid w:val="40953369"/>
    <w:rsid w:val="417E1395"/>
    <w:rsid w:val="424854EA"/>
    <w:rsid w:val="42722BDC"/>
    <w:rsid w:val="43573408"/>
    <w:rsid w:val="43B32016"/>
    <w:rsid w:val="43C30B5C"/>
    <w:rsid w:val="43E229B6"/>
    <w:rsid w:val="445E217C"/>
    <w:rsid w:val="4466385E"/>
    <w:rsid w:val="44854751"/>
    <w:rsid w:val="4502080D"/>
    <w:rsid w:val="45506B85"/>
    <w:rsid w:val="455E06EB"/>
    <w:rsid w:val="459260C9"/>
    <w:rsid w:val="45940736"/>
    <w:rsid w:val="46582E6F"/>
    <w:rsid w:val="46822C95"/>
    <w:rsid w:val="468D3E8B"/>
    <w:rsid w:val="4698326B"/>
    <w:rsid w:val="46D22C21"/>
    <w:rsid w:val="46FFF313"/>
    <w:rsid w:val="473F503E"/>
    <w:rsid w:val="47472098"/>
    <w:rsid w:val="476B072D"/>
    <w:rsid w:val="47EFC40C"/>
    <w:rsid w:val="480F1C53"/>
    <w:rsid w:val="481808E7"/>
    <w:rsid w:val="48195588"/>
    <w:rsid w:val="483C58DF"/>
    <w:rsid w:val="4868469C"/>
    <w:rsid w:val="48F301C0"/>
    <w:rsid w:val="491347C8"/>
    <w:rsid w:val="49153299"/>
    <w:rsid w:val="491B4F0A"/>
    <w:rsid w:val="497004D0"/>
    <w:rsid w:val="498E6F7D"/>
    <w:rsid w:val="4A1E7F2C"/>
    <w:rsid w:val="4A49144C"/>
    <w:rsid w:val="4A6942B1"/>
    <w:rsid w:val="4A9F72BE"/>
    <w:rsid w:val="4AAA7A11"/>
    <w:rsid w:val="4AAE45D1"/>
    <w:rsid w:val="4ADA6548"/>
    <w:rsid w:val="4C9F22F5"/>
    <w:rsid w:val="4CA8017F"/>
    <w:rsid w:val="4CDF1BF4"/>
    <w:rsid w:val="4D5E470F"/>
    <w:rsid w:val="4DB5402C"/>
    <w:rsid w:val="4DF69778"/>
    <w:rsid w:val="4DFF5AA1"/>
    <w:rsid w:val="4E01203E"/>
    <w:rsid w:val="4E3F66C2"/>
    <w:rsid w:val="4EA336C1"/>
    <w:rsid w:val="4EBC7BD9"/>
    <w:rsid w:val="4EC67CB9"/>
    <w:rsid w:val="4F060883"/>
    <w:rsid w:val="4F0973FC"/>
    <w:rsid w:val="4F665F13"/>
    <w:rsid w:val="502B04CC"/>
    <w:rsid w:val="5032028D"/>
    <w:rsid w:val="507B5903"/>
    <w:rsid w:val="507E5A75"/>
    <w:rsid w:val="51275918"/>
    <w:rsid w:val="512C1180"/>
    <w:rsid w:val="519248BF"/>
    <w:rsid w:val="5196797D"/>
    <w:rsid w:val="51E1640E"/>
    <w:rsid w:val="52392C19"/>
    <w:rsid w:val="525E7A5F"/>
    <w:rsid w:val="52A94B53"/>
    <w:rsid w:val="52BD477F"/>
    <w:rsid w:val="52BE31A5"/>
    <w:rsid w:val="52BE768D"/>
    <w:rsid w:val="52CE4502"/>
    <w:rsid w:val="52E87431"/>
    <w:rsid w:val="5300792D"/>
    <w:rsid w:val="532268C9"/>
    <w:rsid w:val="5367649F"/>
    <w:rsid w:val="53AA2830"/>
    <w:rsid w:val="545A5249"/>
    <w:rsid w:val="549E2185"/>
    <w:rsid w:val="54B22B1E"/>
    <w:rsid w:val="54E51D72"/>
    <w:rsid w:val="54F55E2E"/>
    <w:rsid w:val="55471AC8"/>
    <w:rsid w:val="55652EB2"/>
    <w:rsid w:val="557213D8"/>
    <w:rsid w:val="559B17AB"/>
    <w:rsid w:val="55BFF152"/>
    <w:rsid w:val="55C2076D"/>
    <w:rsid w:val="567B1675"/>
    <w:rsid w:val="56A25A40"/>
    <w:rsid w:val="56AE6CA9"/>
    <w:rsid w:val="56DC36BA"/>
    <w:rsid w:val="56E147BB"/>
    <w:rsid w:val="570109B9"/>
    <w:rsid w:val="579A6471"/>
    <w:rsid w:val="57B6149D"/>
    <w:rsid w:val="57BF6BBB"/>
    <w:rsid w:val="57E7759A"/>
    <w:rsid w:val="581F7096"/>
    <w:rsid w:val="584A09A2"/>
    <w:rsid w:val="58615BB3"/>
    <w:rsid w:val="586C27AA"/>
    <w:rsid w:val="5878260D"/>
    <w:rsid w:val="58AE0212"/>
    <w:rsid w:val="591209B2"/>
    <w:rsid w:val="59305585"/>
    <w:rsid w:val="595C637A"/>
    <w:rsid w:val="598D29D8"/>
    <w:rsid w:val="59BB12F3"/>
    <w:rsid w:val="59C52172"/>
    <w:rsid w:val="59DC08E3"/>
    <w:rsid w:val="5A5D2FC6"/>
    <w:rsid w:val="5A870A5E"/>
    <w:rsid w:val="5AA31C50"/>
    <w:rsid w:val="5AFBB39F"/>
    <w:rsid w:val="5BAB947F"/>
    <w:rsid w:val="5BB4249E"/>
    <w:rsid w:val="5BBF4F13"/>
    <w:rsid w:val="5BD3A87E"/>
    <w:rsid w:val="5BE56BAA"/>
    <w:rsid w:val="5BFA4553"/>
    <w:rsid w:val="5C04539A"/>
    <w:rsid w:val="5C994992"/>
    <w:rsid w:val="5CC30C5B"/>
    <w:rsid w:val="5D017965"/>
    <w:rsid w:val="5D0D3F39"/>
    <w:rsid w:val="5D7F7390"/>
    <w:rsid w:val="5DBFA747"/>
    <w:rsid w:val="5DFE37CC"/>
    <w:rsid w:val="5E131D9C"/>
    <w:rsid w:val="5E5FDDB0"/>
    <w:rsid w:val="5E7F0716"/>
    <w:rsid w:val="5EC04C39"/>
    <w:rsid w:val="5EC92704"/>
    <w:rsid w:val="5F3FB621"/>
    <w:rsid w:val="5F4F92F2"/>
    <w:rsid w:val="5F5B1589"/>
    <w:rsid w:val="5F6B5569"/>
    <w:rsid w:val="5F77BF38"/>
    <w:rsid w:val="5F830EB2"/>
    <w:rsid w:val="5F927A48"/>
    <w:rsid w:val="5FC44C79"/>
    <w:rsid w:val="5FDF4CC3"/>
    <w:rsid w:val="5FF1B8B8"/>
    <w:rsid w:val="5FF321A8"/>
    <w:rsid w:val="5FF64FAC"/>
    <w:rsid w:val="5FFCEF1B"/>
    <w:rsid w:val="602738FC"/>
    <w:rsid w:val="602C2F4B"/>
    <w:rsid w:val="605F2B43"/>
    <w:rsid w:val="606C2B70"/>
    <w:rsid w:val="60A725D1"/>
    <w:rsid w:val="60AA20C1"/>
    <w:rsid w:val="60AC2BDE"/>
    <w:rsid w:val="60AC408B"/>
    <w:rsid w:val="60D3492A"/>
    <w:rsid w:val="612D2E3D"/>
    <w:rsid w:val="61587F5F"/>
    <w:rsid w:val="61604C1E"/>
    <w:rsid w:val="616109D2"/>
    <w:rsid w:val="6183150C"/>
    <w:rsid w:val="62436329"/>
    <w:rsid w:val="62514006"/>
    <w:rsid w:val="62525C5A"/>
    <w:rsid w:val="62D80B9A"/>
    <w:rsid w:val="62EF0425"/>
    <w:rsid w:val="632F7FD4"/>
    <w:rsid w:val="636D547C"/>
    <w:rsid w:val="638B22F2"/>
    <w:rsid w:val="64992B79"/>
    <w:rsid w:val="64EB52CA"/>
    <w:rsid w:val="65AB4220"/>
    <w:rsid w:val="65D26D3E"/>
    <w:rsid w:val="66285F62"/>
    <w:rsid w:val="662E7672"/>
    <w:rsid w:val="66352C13"/>
    <w:rsid w:val="664045D4"/>
    <w:rsid w:val="6675638B"/>
    <w:rsid w:val="66873AE7"/>
    <w:rsid w:val="669F5E33"/>
    <w:rsid w:val="66D936C4"/>
    <w:rsid w:val="66FB10EF"/>
    <w:rsid w:val="671F1BE5"/>
    <w:rsid w:val="67256946"/>
    <w:rsid w:val="672A7AB8"/>
    <w:rsid w:val="676E209B"/>
    <w:rsid w:val="67BA0E3C"/>
    <w:rsid w:val="67F7B096"/>
    <w:rsid w:val="67FB863B"/>
    <w:rsid w:val="68150152"/>
    <w:rsid w:val="681D29C9"/>
    <w:rsid w:val="684D1CB0"/>
    <w:rsid w:val="6874345A"/>
    <w:rsid w:val="689549F6"/>
    <w:rsid w:val="68C13E28"/>
    <w:rsid w:val="69140A20"/>
    <w:rsid w:val="691B0000"/>
    <w:rsid w:val="691D5429"/>
    <w:rsid w:val="693134C4"/>
    <w:rsid w:val="693764BC"/>
    <w:rsid w:val="694826A4"/>
    <w:rsid w:val="69A67BA4"/>
    <w:rsid w:val="69C02956"/>
    <w:rsid w:val="69C76052"/>
    <w:rsid w:val="69CB5582"/>
    <w:rsid w:val="69ED5B0B"/>
    <w:rsid w:val="69FC9584"/>
    <w:rsid w:val="6A0675A3"/>
    <w:rsid w:val="6A6B512C"/>
    <w:rsid w:val="6A94006A"/>
    <w:rsid w:val="6A962C03"/>
    <w:rsid w:val="6A9811DC"/>
    <w:rsid w:val="6ABA0007"/>
    <w:rsid w:val="6ABF49BB"/>
    <w:rsid w:val="6ADD2837"/>
    <w:rsid w:val="6ADE958E"/>
    <w:rsid w:val="6B2B4D5B"/>
    <w:rsid w:val="6B9D2F71"/>
    <w:rsid w:val="6C0A444D"/>
    <w:rsid w:val="6CFF25D0"/>
    <w:rsid w:val="6D4D179A"/>
    <w:rsid w:val="6DF65EF8"/>
    <w:rsid w:val="6DFEC888"/>
    <w:rsid w:val="6E7837FF"/>
    <w:rsid w:val="6E9D3429"/>
    <w:rsid w:val="6F0357BE"/>
    <w:rsid w:val="6F0F4163"/>
    <w:rsid w:val="6F2658B0"/>
    <w:rsid w:val="6F527BE2"/>
    <w:rsid w:val="6F91760E"/>
    <w:rsid w:val="6F9B7D62"/>
    <w:rsid w:val="6FBA63CB"/>
    <w:rsid w:val="6FCEB006"/>
    <w:rsid w:val="6FF67D01"/>
    <w:rsid w:val="6FF77172"/>
    <w:rsid w:val="6FF781EF"/>
    <w:rsid w:val="6FFEDCD8"/>
    <w:rsid w:val="701D6F1F"/>
    <w:rsid w:val="713D23C0"/>
    <w:rsid w:val="71500A63"/>
    <w:rsid w:val="71506E3D"/>
    <w:rsid w:val="71A02333"/>
    <w:rsid w:val="71D75408"/>
    <w:rsid w:val="71E2713D"/>
    <w:rsid w:val="71F429EE"/>
    <w:rsid w:val="725400DF"/>
    <w:rsid w:val="72867055"/>
    <w:rsid w:val="72E639F4"/>
    <w:rsid w:val="72ED38E1"/>
    <w:rsid w:val="72F37B89"/>
    <w:rsid w:val="73012015"/>
    <w:rsid w:val="73B07C85"/>
    <w:rsid w:val="73B3520F"/>
    <w:rsid w:val="73D25FA3"/>
    <w:rsid w:val="73FF5902"/>
    <w:rsid w:val="741A0AAF"/>
    <w:rsid w:val="74697267"/>
    <w:rsid w:val="746E12FE"/>
    <w:rsid w:val="7473350A"/>
    <w:rsid w:val="74736F42"/>
    <w:rsid w:val="74A561AC"/>
    <w:rsid w:val="74B07EB4"/>
    <w:rsid w:val="74B80DF9"/>
    <w:rsid w:val="74BF5CE3"/>
    <w:rsid w:val="74C07CAE"/>
    <w:rsid w:val="74FA6D1C"/>
    <w:rsid w:val="750C41FF"/>
    <w:rsid w:val="75504B8E"/>
    <w:rsid w:val="75A228F3"/>
    <w:rsid w:val="75BA487A"/>
    <w:rsid w:val="75CA2AB6"/>
    <w:rsid w:val="75E168B7"/>
    <w:rsid w:val="75ED062E"/>
    <w:rsid w:val="76286F0E"/>
    <w:rsid w:val="76577E25"/>
    <w:rsid w:val="7677B433"/>
    <w:rsid w:val="767DA199"/>
    <w:rsid w:val="768F34E2"/>
    <w:rsid w:val="76AA3EEA"/>
    <w:rsid w:val="76DA32A9"/>
    <w:rsid w:val="76DBEA81"/>
    <w:rsid w:val="76FB544D"/>
    <w:rsid w:val="770B16B4"/>
    <w:rsid w:val="770DA1DD"/>
    <w:rsid w:val="77132317"/>
    <w:rsid w:val="7733608A"/>
    <w:rsid w:val="773D3837"/>
    <w:rsid w:val="773F04C4"/>
    <w:rsid w:val="778E6C24"/>
    <w:rsid w:val="77A15B74"/>
    <w:rsid w:val="77EB0D46"/>
    <w:rsid w:val="77FB51D3"/>
    <w:rsid w:val="77FC62BC"/>
    <w:rsid w:val="782C50FB"/>
    <w:rsid w:val="7883116B"/>
    <w:rsid w:val="789A51C2"/>
    <w:rsid w:val="789B6A68"/>
    <w:rsid w:val="78A92F3B"/>
    <w:rsid w:val="78B46688"/>
    <w:rsid w:val="78BE8143"/>
    <w:rsid w:val="78C15556"/>
    <w:rsid w:val="79BA19DB"/>
    <w:rsid w:val="79BC4EE7"/>
    <w:rsid w:val="79EB5317"/>
    <w:rsid w:val="7A13262E"/>
    <w:rsid w:val="7A730B94"/>
    <w:rsid w:val="7AAE5B95"/>
    <w:rsid w:val="7AF9101A"/>
    <w:rsid w:val="7B3311D9"/>
    <w:rsid w:val="7B3A4A2B"/>
    <w:rsid w:val="7B4F6158"/>
    <w:rsid w:val="7B63089B"/>
    <w:rsid w:val="7BAF222A"/>
    <w:rsid w:val="7BC15D10"/>
    <w:rsid w:val="7BF90886"/>
    <w:rsid w:val="7C4D1E27"/>
    <w:rsid w:val="7C7F494C"/>
    <w:rsid w:val="7C8F76D3"/>
    <w:rsid w:val="7CCB71F0"/>
    <w:rsid w:val="7CED166A"/>
    <w:rsid w:val="7CF8296D"/>
    <w:rsid w:val="7D47F157"/>
    <w:rsid w:val="7D8B7494"/>
    <w:rsid w:val="7D937254"/>
    <w:rsid w:val="7D9C7649"/>
    <w:rsid w:val="7D9F4904"/>
    <w:rsid w:val="7DA368AE"/>
    <w:rsid w:val="7DDD1916"/>
    <w:rsid w:val="7DDF0A2F"/>
    <w:rsid w:val="7DFA3FD5"/>
    <w:rsid w:val="7DFFCEDD"/>
    <w:rsid w:val="7E560BB9"/>
    <w:rsid w:val="7E61605D"/>
    <w:rsid w:val="7E778D86"/>
    <w:rsid w:val="7E881F09"/>
    <w:rsid w:val="7EA66ED8"/>
    <w:rsid w:val="7EBAC386"/>
    <w:rsid w:val="7EE9514D"/>
    <w:rsid w:val="7EEEE83F"/>
    <w:rsid w:val="7EF70770"/>
    <w:rsid w:val="7EF75CF2"/>
    <w:rsid w:val="7EFF6A6A"/>
    <w:rsid w:val="7F2F0C8C"/>
    <w:rsid w:val="7F37B89D"/>
    <w:rsid w:val="7F395B31"/>
    <w:rsid w:val="7F414376"/>
    <w:rsid w:val="7F573819"/>
    <w:rsid w:val="7F6F0306"/>
    <w:rsid w:val="7F6F5DEE"/>
    <w:rsid w:val="7F794234"/>
    <w:rsid w:val="7F79A2C6"/>
    <w:rsid w:val="7F7F575F"/>
    <w:rsid w:val="7F8BD2BB"/>
    <w:rsid w:val="7FA77277"/>
    <w:rsid w:val="7FAD3B3E"/>
    <w:rsid w:val="7FBE5171"/>
    <w:rsid w:val="7FBFFFD8"/>
    <w:rsid w:val="7FDB7C59"/>
    <w:rsid w:val="7FDFCB86"/>
    <w:rsid w:val="7FDFFF9C"/>
    <w:rsid w:val="7FE17456"/>
    <w:rsid w:val="7FF35EE4"/>
    <w:rsid w:val="7FF54AFB"/>
    <w:rsid w:val="7FFF266D"/>
    <w:rsid w:val="7FFF6C25"/>
    <w:rsid w:val="86E7A35C"/>
    <w:rsid w:val="93FFD778"/>
    <w:rsid w:val="975F589A"/>
    <w:rsid w:val="9D7D4C71"/>
    <w:rsid w:val="9DFFEFB5"/>
    <w:rsid w:val="9F7F032F"/>
    <w:rsid w:val="AB762A95"/>
    <w:rsid w:val="ACC76BDF"/>
    <w:rsid w:val="AD62DA46"/>
    <w:rsid w:val="AFB33FC2"/>
    <w:rsid w:val="AFF1E7DE"/>
    <w:rsid w:val="B4D3816E"/>
    <w:rsid w:val="B9FF6F9D"/>
    <w:rsid w:val="BB3DD9AB"/>
    <w:rsid w:val="BBFF3917"/>
    <w:rsid w:val="BCFFFC63"/>
    <w:rsid w:val="BD7DEE9D"/>
    <w:rsid w:val="BDFF7AAE"/>
    <w:rsid w:val="BF5FB8FE"/>
    <w:rsid w:val="BFC6AC94"/>
    <w:rsid w:val="BFED6168"/>
    <w:rsid w:val="C569FADA"/>
    <w:rsid w:val="CBDE27B7"/>
    <w:rsid w:val="CD9F3621"/>
    <w:rsid w:val="CF9F2999"/>
    <w:rsid w:val="CFBFC3A1"/>
    <w:rsid w:val="CFF998F5"/>
    <w:rsid w:val="D01E1E28"/>
    <w:rsid w:val="D3FF5535"/>
    <w:rsid w:val="D42CF24B"/>
    <w:rsid w:val="D5FF65FE"/>
    <w:rsid w:val="D7F8C555"/>
    <w:rsid w:val="D9B8097B"/>
    <w:rsid w:val="D9F91096"/>
    <w:rsid w:val="DBBF4040"/>
    <w:rsid w:val="DD3D9127"/>
    <w:rsid w:val="DD57E7CE"/>
    <w:rsid w:val="DD654030"/>
    <w:rsid w:val="DDDD5BF6"/>
    <w:rsid w:val="DF39BCDA"/>
    <w:rsid w:val="DFBD712D"/>
    <w:rsid w:val="DFD74C1C"/>
    <w:rsid w:val="DFDAE3CF"/>
    <w:rsid w:val="DFFD1ED2"/>
    <w:rsid w:val="E3DEE08F"/>
    <w:rsid w:val="E5EF1D8F"/>
    <w:rsid w:val="E76F1870"/>
    <w:rsid w:val="E7FF2C0D"/>
    <w:rsid w:val="EBF74B1F"/>
    <w:rsid w:val="EDF7714B"/>
    <w:rsid w:val="EEEE6B5C"/>
    <w:rsid w:val="EEFB6B26"/>
    <w:rsid w:val="EEFFB669"/>
    <w:rsid w:val="EF3A8780"/>
    <w:rsid w:val="EF9E4CF3"/>
    <w:rsid w:val="EFEEC415"/>
    <w:rsid w:val="EFFAA7B7"/>
    <w:rsid w:val="EFFCB58F"/>
    <w:rsid w:val="EFFE5714"/>
    <w:rsid w:val="EFFF68FD"/>
    <w:rsid w:val="EFFFD714"/>
    <w:rsid w:val="F1ADF032"/>
    <w:rsid w:val="F1CF6FDD"/>
    <w:rsid w:val="F27E1C1F"/>
    <w:rsid w:val="F33F6A1E"/>
    <w:rsid w:val="F36F7AA6"/>
    <w:rsid w:val="F5FB3529"/>
    <w:rsid w:val="F6639C74"/>
    <w:rsid w:val="F6E77BD9"/>
    <w:rsid w:val="F74FE36B"/>
    <w:rsid w:val="F79BFC0F"/>
    <w:rsid w:val="F7BB26DD"/>
    <w:rsid w:val="F8F3865E"/>
    <w:rsid w:val="F9BF7C10"/>
    <w:rsid w:val="FABF5C79"/>
    <w:rsid w:val="FAFF6ECB"/>
    <w:rsid w:val="FB2F53B7"/>
    <w:rsid w:val="FB9C54AB"/>
    <w:rsid w:val="FBF688EB"/>
    <w:rsid w:val="FBFF1C96"/>
    <w:rsid w:val="FC3782F4"/>
    <w:rsid w:val="FCF7C91A"/>
    <w:rsid w:val="FDD9D2F7"/>
    <w:rsid w:val="FDED2C5C"/>
    <w:rsid w:val="FDFF09EE"/>
    <w:rsid w:val="FDFF3B45"/>
    <w:rsid w:val="FDFF47C5"/>
    <w:rsid w:val="FEA75407"/>
    <w:rsid w:val="FEEBCFE8"/>
    <w:rsid w:val="FEEEBC13"/>
    <w:rsid w:val="FEF4177E"/>
    <w:rsid w:val="FEFD73AC"/>
    <w:rsid w:val="FEFF66AD"/>
    <w:rsid w:val="FF555BC8"/>
    <w:rsid w:val="FF6924EA"/>
    <w:rsid w:val="FF9C04F6"/>
    <w:rsid w:val="FFAF2673"/>
    <w:rsid w:val="FFBF36C6"/>
    <w:rsid w:val="FFBF589E"/>
    <w:rsid w:val="FFBF5F5E"/>
    <w:rsid w:val="FFDAC955"/>
    <w:rsid w:val="FFDCE5DA"/>
    <w:rsid w:val="FFDDF5B5"/>
    <w:rsid w:val="FFDFEB17"/>
    <w:rsid w:val="FFE92171"/>
    <w:rsid w:val="FFEF1177"/>
    <w:rsid w:val="FFF700F3"/>
    <w:rsid w:val="FFF78757"/>
    <w:rsid w:val="FFF98F2D"/>
    <w:rsid w:val="FFFB0183"/>
    <w:rsid w:val="FFFD2324"/>
    <w:rsid w:val="FFFD631D"/>
    <w:rsid w:val="FFFF3AE7"/>
    <w:rsid w:val="FFFFAA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0"/>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5">
    <w:name w:val="heading 3"/>
    <w:basedOn w:val="1"/>
    <w:next w:val="1"/>
    <w:link w:val="51"/>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2"/>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qFormat/>
    <w:uiPriority w:val="1"/>
    <w:pPr>
      <w:ind w:left="420"/>
      <w:outlineLvl w:val="4"/>
    </w:pPr>
    <w:rPr>
      <w:rFonts w:ascii="宋体" w:hAnsi="宋体" w:eastAsia="宋体" w:cs="宋体"/>
      <w:sz w:val="36"/>
      <w:szCs w:val="36"/>
    </w:rPr>
  </w:style>
  <w:style w:type="paragraph" w:styleId="8">
    <w:name w:val="heading 8"/>
    <w:basedOn w:val="1"/>
    <w:next w:val="1"/>
    <w:link w:val="53"/>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49"/>
    <w:unhideWhenUsed/>
    <w:qFormat/>
    <w:uiPriority w:val="0"/>
    <w:pPr>
      <w:ind w:firstLine="420" w:firstLineChars="200"/>
    </w:pPr>
  </w:style>
  <w:style w:type="paragraph" w:styleId="9">
    <w:name w:val="annotation text"/>
    <w:basedOn w:val="1"/>
    <w:link w:val="54"/>
    <w:qFormat/>
    <w:uiPriority w:val="0"/>
    <w:pPr>
      <w:jc w:val="left"/>
    </w:pPr>
    <w:rPr>
      <w:szCs w:val="24"/>
    </w:rPr>
  </w:style>
  <w:style w:type="paragraph" w:styleId="10">
    <w:name w:val="Body Text 3"/>
    <w:basedOn w:val="1"/>
    <w:link w:val="55"/>
    <w:semiHidden/>
    <w:unhideWhenUsed/>
    <w:qFormat/>
    <w:uiPriority w:val="99"/>
    <w:pPr>
      <w:spacing w:after="120"/>
    </w:pPr>
    <w:rPr>
      <w:sz w:val="16"/>
      <w:szCs w:val="16"/>
    </w:rPr>
  </w:style>
  <w:style w:type="paragraph" w:styleId="11">
    <w:name w:val="Body Text"/>
    <w:basedOn w:val="1"/>
    <w:next w:val="12"/>
    <w:link w:val="56"/>
    <w:qFormat/>
    <w:uiPriority w:val="0"/>
    <w:pPr>
      <w:adjustRightInd w:val="0"/>
      <w:jc w:val="left"/>
      <w:textAlignment w:val="baseline"/>
    </w:pPr>
    <w:rPr>
      <w:rFonts w:ascii="楷体_GB2312" w:hAnsi="Times New Roman" w:eastAsia="楷体_GB2312" w:cs="Times New Roman"/>
      <w:kern w:val="0"/>
      <w:sz w:val="28"/>
      <w:szCs w:val="20"/>
    </w:rPr>
  </w:style>
  <w:style w:type="paragraph" w:styleId="12">
    <w:name w:val="Body Text 2"/>
    <w:basedOn w:val="1"/>
    <w:link w:val="158"/>
    <w:qFormat/>
    <w:uiPriority w:val="0"/>
    <w:pPr>
      <w:widowControl/>
      <w:overflowPunct w:val="0"/>
      <w:autoSpaceDE w:val="0"/>
      <w:autoSpaceDN w:val="0"/>
      <w:adjustRightInd w:val="0"/>
      <w:jc w:val="left"/>
      <w:textAlignment w:val="baseline"/>
    </w:pPr>
  </w:style>
  <w:style w:type="paragraph" w:styleId="13">
    <w:name w:val="Body Text Indent"/>
    <w:basedOn w:val="1"/>
    <w:next w:val="14"/>
    <w:link w:val="57"/>
    <w:unhideWhenUsed/>
    <w:qFormat/>
    <w:uiPriority w:val="99"/>
    <w:pPr>
      <w:spacing w:after="120"/>
      <w:ind w:left="420" w:leftChars="200"/>
    </w:pPr>
  </w:style>
  <w:style w:type="paragraph" w:styleId="14">
    <w:name w:val="envelope return"/>
    <w:basedOn w:val="1"/>
    <w:qFormat/>
    <w:uiPriority w:val="0"/>
    <w:pPr>
      <w:snapToGrid w:val="0"/>
    </w:pPr>
    <w:rPr>
      <w:rFonts w:ascii="Arial" w:hAnsi="Arial"/>
    </w:rPr>
  </w:style>
  <w:style w:type="paragraph" w:styleId="15">
    <w:name w:val="toc 3"/>
    <w:basedOn w:val="1"/>
    <w:next w:val="1"/>
    <w:unhideWhenUsed/>
    <w:qFormat/>
    <w:uiPriority w:val="39"/>
    <w:pPr>
      <w:widowControl/>
      <w:spacing w:after="100" w:line="276" w:lineRule="auto"/>
      <w:ind w:left="440"/>
      <w:jc w:val="left"/>
    </w:pPr>
    <w:rPr>
      <w:kern w:val="0"/>
      <w:sz w:val="22"/>
    </w:rPr>
  </w:style>
  <w:style w:type="paragraph" w:styleId="16">
    <w:name w:val="Plain Text"/>
    <w:basedOn w:val="1"/>
    <w:link w:val="58"/>
    <w:qFormat/>
    <w:uiPriority w:val="0"/>
    <w:rPr>
      <w:rFonts w:ascii="宋体" w:hAnsi="Courier New"/>
    </w:rPr>
  </w:style>
  <w:style w:type="paragraph" w:styleId="17">
    <w:name w:val="Date"/>
    <w:basedOn w:val="1"/>
    <w:next w:val="1"/>
    <w:link w:val="59"/>
    <w:unhideWhenUsed/>
    <w:qFormat/>
    <w:uiPriority w:val="0"/>
    <w:pPr>
      <w:ind w:left="100" w:leftChars="2500"/>
    </w:pPr>
  </w:style>
  <w:style w:type="paragraph" w:styleId="18">
    <w:name w:val="Body Text Indent 2"/>
    <w:basedOn w:val="1"/>
    <w:link w:val="157"/>
    <w:qFormat/>
    <w:uiPriority w:val="0"/>
    <w:pPr>
      <w:spacing w:line="360" w:lineRule="auto"/>
      <w:ind w:firstLine="420"/>
    </w:pPr>
    <w:rPr>
      <w:rFonts w:ascii="宋体" w:hAnsi="宋体" w:eastAsia="宋体" w:cs="宋体"/>
      <w:b/>
      <w:kern w:val="1"/>
      <w:szCs w:val="24"/>
    </w:rPr>
  </w:style>
  <w:style w:type="paragraph" w:styleId="19">
    <w:name w:val="Balloon Text"/>
    <w:basedOn w:val="1"/>
    <w:link w:val="60"/>
    <w:semiHidden/>
    <w:unhideWhenUsed/>
    <w:qFormat/>
    <w:uiPriority w:val="0"/>
    <w:rPr>
      <w:sz w:val="18"/>
      <w:szCs w:val="18"/>
    </w:rPr>
  </w:style>
  <w:style w:type="paragraph" w:styleId="20">
    <w:name w:val="footer"/>
    <w:basedOn w:val="1"/>
    <w:link w:val="61"/>
    <w:unhideWhenUsed/>
    <w:qFormat/>
    <w:uiPriority w:val="99"/>
    <w:pPr>
      <w:tabs>
        <w:tab w:val="center" w:pos="4153"/>
        <w:tab w:val="right" w:pos="8306"/>
      </w:tabs>
      <w:snapToGrid w:val="0"/>
      <w:jc w:val="left"/>
    </w:pPr>
    <w:rPr>
      <w:sz w:val="18"/>
      <w:szCs w:val="18"/>
    </w:rPr>
  </w:style>
  <w:style w:type="paragraph" w:styleId="21">
    <w:name w:val="header"/>
    <w:basedOn w:val="1"/>
    <w:link w:val="62"/>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widowControl/>
      <w:spacing w:after="100" w:line="276" w:lineRule="auto"/>
      <w:jc w:val="left"/>
    </w:pPr>
    <w:rPr>
      <w:kern w:val="0"/>
      <w:sz w:val="22"/>
    </w:rPr>
  </w:style>
  <w:style w:type="paragraph" w:styleId="23">
    <w:name w:val="Subtitle"/>
    <w:basedOn w:val="1"/>
    <w:next w:val="1"/>
    <w:link w:val="63"/>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24">
    <w:name w:val="table of figures"/>
    <w:basedOn w:val="1"/>
    <w:next w:val="1"/>
    <w:qFormat/>
    <w:uiPriority w:val="99"/>
    <w:pPr>
      <w:spacing w:line="360" w:lineRule="auto"/>
      <w:ind w:left="840" w:leftChars="200" w:hanging="420" w:hangingChars="200"/>
    </w:pPr>
    <w:rPr>
      <w:rFonts w:ascii="Arial" w:hAnsi="Arial" w:eastAsia="宋体" w:cs="Times New Roman"/>
      <w:kern w:val="0"/>
      <w:sz w:val="24"/>
      <w:szCs w:val="20"/>
    </w:rPr>
  </w:style>
  <w:style w:type="paragraph" w:styleId="25">
    <w:name w:val="toc 2"/>
    <w:basedOn w:val="1"/>
    <w:next w:val="1"/>
    <w:unhideWhenUsed/>
    <w:qFormat/>
    <w:uiPriority w:val="39"/>
    <w:pPr>
      <w:widowControl/>
      <w:spacing w:after="100" w:line="276" w:lineRule="auto"/>
      <w:ind w:left="220"/>
      <w:jc w:val="left"/>
    </w:pPr>
    <w:rPr>
      <w:kern w:val="0"/>
      <w:sz w:val="22"/>
    </w:rPr>
  </w:style>
  <w:style w:type="paragraph" w:styleId="26">
    <w:name w:val="HTML Preformatted"/>
    <w:basedOn w:val="1"/>
    <w:link w:val="64"/>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7">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28">
    <w:name w:val="Body Text First Indent"/>
    <w:basedOn w:val="11"/>
    <w:link w:val="65"/>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29">
    <w:name w:val="Body Text First Indent 2"/>
    <w:basedOn w:val="13"/>
    <w:next w:val="30"/>
    <w:link w:val="66"/>
    <w:unhideWhenUsed/>
    <w:qFormat/>
    <w:uiPriority w:val="99"/>
    <w:pPr>
      <w:ind w:firstLine="420" w:firstLineChars="200"/>
    </w:pPr>
  </w:style>
  <w:style w:type="paragraph" w:customStyle="1" w:styleId="30">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qFormat/>
    <w:uiPriority w:val="0"/>
    <w:rPr>
      <w:b/>
    </w:rPr>
  </w:style>
  <w:style w:type="character" w:styleId="35">
    <w:name w:val="page number"/>
    <w:qFormat/>
    <w:uiPriority w:val="0"/>
  </w:style>
  <w:style w:type="character" w:styleId="36">
    <w:name w:val="FollowedHyperlink"/>
    <w:qFormat/>
    <w:uiPriority w:val="99"/>
    <w:rPr>
      <w:color w:val="800080"/>
      <w:u w:val="none"/>
    </w:rPr>
  </w:style>
  <w:style w:type="character" w:styleId="37">
    <w:name w:val="Emphasis"/>
    <w:qFormat/>
    <w:uiPriority w:val="0"/>
  </w:style>
  <w:style w:type="character" w:styleId="38">
    <w:name w:val="HTML Definition"/>
    <w:qFormat/>
    <w:uiPriority w:val="0"/>
    <w:rPr>
      <w:u w:val="single"/>
    </w:rPr>
  </w:style>
  <w:style w:type="character" w:styleId="39">
    <w:name w:val="HTML Variable"/>
    <w:qFormat/>
    <w:uiPriority w:val="0"/>
  </w:style>
  <w:style w:type="character" w:styleId="40">
    <w:name w:val="Hyperlink"/>
    <w:basedOn w:val="33"/>
    <w:unhideWhenUsed/>
    <w:qFormat/>
    <w:uiPriority w:val="99"/>
    <w:rPr>
      <w:color w:val="0000FF" w:themeColor="hyperlink"/>
      <w:u w:val="single"/>
      <w14:textFill>
        <w14:solidFill>
          <w14:schemeClr w14:val="hlink"/>
        </w14:solidFill>
      </w14:textFill>
    </w:rPr>
  </w:style>
  <w:style w:type="character" w:styleId="41">
    <w:name w:val="HTML Code"/>
    <w:qFormat/>
    <w:uiPriority w:val="0"/>
    <w:rPr>
      <w:rFonts w:hint="default" w:ascii="Arial" w:hAnsi="Arial" w:cs="Arial"/>
      <w:sz w:val="20"/>
    </w:rPr>
  </w:style>
  <w:style w:type="character" w:styleId="42">
    <w:name w:val="annotation reference"/>
    <w:basedOn w:val="33"/>
    <w:unhideWhenUsed/>
    <w:qFormat/>
    <w:uiPriority w:val="0"/>
    <w:rPr>
      <w:sz w:val="21"/>
      <w:szCs w:val="21"/>
    </w:rPr>
  </w:style>
  <w:style w:type="character" w:styleId="43">
    <w:name w:val="HTML Cite"/>
    <w:qFormat/>
    <w:uiPriority w:val="0"/>
  </w:style>
  <w:style w:type="character" w:styleId="44">
    <w:name w:val="HTML Keyboard"/>
    <w:qFormat/>
    <w:uiPriority w:val="0"/>
    <w:rPr>
      <w:rFonts w:hint="default" w:ascii="Arial" w:hAnsi="Arial" w:cs="Arial"/>
      <w:sz w:val="20"/>
    </w:rPr>
  </w:style>
  <w:style w:type="character" w:styleId="45">
    <w:name w:val="HTML Sample"/>
    <w:qFormat/>
    <w:uiPriority w:val="0"/>
    <w:rPr>
      <w:rFonts w:hint="eastAsia" w:ascii="Arial" w:hAnsi="Arial" w:cs="Arial"/>
    </w:rPr>
  </w:style>
  <w:style w:type="paragraph" w:customStyle="1" w:styleId="46">
    <w:name w:val="Default"/>
    <w:next w:val="47"/>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7">
    <w:name w:val="大标题"/>
    <w:basedOn w:val="1"/>
    <w:next w:val="29"/>
    <w:qFormat/>
    <w:uiPriority w:val="0"/>
    <w:pPr>
      <w:jc w:val="center"/>
    </w:pPr>
    <w:rPr>
      <w:rFonts w:ascii="Arial" w:hAnsi="Arial"/>
      <w:b/>
    </w:rPr>
  </w:style>
  <w:style w:type="character" w:customStyle="1" w:styleId="48">
    <w:name w:val="标题 1 Char"/>
    <w:basedOn w:val="33"/>
    <w:link w:val="3"/>
    <w:qFormat/>
    <w:uiPriority w:val="0"/>
    <w:rPr>
      <w:b/>
      <w:bCs/>
      <w:kern w:val="44"/>
      <w:sz w:val="44"/>
      <w:szCs w:val="44"/>
    </w:rPr>
  </w:style>
  <w:style w:type="character" w:customStyle="1" w:styleId="49">
    <w:name w:val="正文缩进 Char"/>
    <w:link w:val="2"/>
    <w:qFormat/>
    <w:uiPriority w:val="0"/>
  </w:style>
  <w:style w:type="character" w:customStyle="1" w:styleId="50">
    <w:name w:val="标题 2 Char"/>
    <w:basedOn w:val="33"/>
    <w:link w:val="4"/>
    <w:qFormat/>
    <w:uiPriority w:val="0"/>
    <w:rPr>
      <w:rFonts w:ascii="Arial" w:hAnsi="Arial" w:eastAsia="黑体" w:cs="Times New Roman"/>
      <w:b/>
      <w:sz w:val="32"/>
      <w:szCs w:val="20"/>
    </w:rPr>
  </w:style>
  <w:style w:type="character" w:customStyle="1" w:styleId="51">
    <w:name w:val="标题 3 Char"/>
    <w:basedOn w:val="33"/>
    <w:link w:val="5"/>
    <w:qFormat/>
    <w:uiPriority w:val="0"/>
    <w:rPr>
      <w:b/>
      <w:bCs/>
      <w:sz w:val="32"/>
      <w:szCs w:val="32"/>
    </w:rPr>
  </w:style>
  <w:style w:type="character" w:customStyle="1" w:styleId="52">
    <w:name w:val="标题 4 Char"/>
    <w:basedOn w:val="33"/>
    <w:link w:val="6"/>
    <w:qFormat/>
    <w:uiPriority w:val="0"/>
    <w:rPr>
      <w:rFonts w:asciiTheme="majorHAnsi" w:hAnsiTheme="majorHAnsi" w:eastAsiaTheme="majorEastAsia" w:cstheme="majorBidi"/>
      <w:b/>
      <w:bCs/>
      <w:sz w:val="28"/>
      <w:szCs w:val="28"/>
    </w:rPr>
  </w:style>
  <w:style w:type="character" w:customStyle="1" w:styleId="53">
    <w:name w:val="标题 8 Char"/>
    <w:basedOn w:val="33"/>
    <w:link w:val="8"/>
    <w:qFormat/>
    <w:uiPriority w:val="0"/>
    <w:rPr>
      <w:rFonts w:asciiTheme="majorHAnsi" w:hAnsiTheme="majorHAnsi" w:eastAsiaTheme="majorEastAsia" w:cstheme="majorBidi"/>
      <w:kern w:val="2"/>
      <w:sz w:val="24"/>
      <w:szCs w:val="24"/>
    </w:rPr>
  </w:style>
  <w:style w:type="character" w:customStyle="1" w:styleId="54">
    <w:name w:val="批注文字 Char1"/>
    <w:link w:val="9"/>
    <w:qFormat/>
    <w:uiPriority w:val="0"/>
    <w:rPr>
      <w:szCs w:val="24"/>
    </w:rPr>
  </w:style>
  <w:style w:type="character" w:customStyle="1" w:styleId="55">
    <w:name w:val="正文文本 3 Char"/>
    <w:basedOn w:val="33"/>
    <w:link w:val="10"/>
    <w:semiHidden/>
    <w:qFormat/>
    <w:uiPriority w:val="99"/>
    <w:rPr>
      <w:sz w:val="16"/>
      <w:szCs w:val="16"/>
    </w:rPr>
  </w:style>
  <w:style w:type="character" w:customStyle="1" w:styleId="56">
    <w:name w:val="正文文本 Char"/>
    <w:basedOn w:val="33"/>
    <w:link w:val="11"/>
    <w:qFormat/>
    <w:uiPriority w:val="0"/>
    <w:rPr>
      <w:rFonts w:ascii="楷体_GB2312" w:hAnsi="Times New Roman" w:eastAsia="楷体_GB2312" w:cs="Times New Roman"/>
      <w:kern w:val="0"/>
      <w:sz w:val="28"/>
      <w:szCs w:val="20"/>
    </w:rPr>
  </w:style>
  <w:style w:type="character" w:customStyle="1" w:styleId="57">
    <w:name w:val="正文文本缩进 Char"/>
    <w:basedOn w:val="33"/>
    <w:link w:val="13"/>
    <w:qFormat/>
    <w:uiPriority w:val="99"/>
  </w:style>
  <w:style w:type="character" w:customStyle="1" w:styleId="58">
    <w:name w:val="纯文本 Char"/>
    <w:link w:val="16"/>
    <w:qFormat/>
    <w:uiPriority w:val="0"/>
    <w:rPr>
      <w:rFonts w:ascii="宋体" w:hAnsi="Courier New"/>
    </w:rPr>
  </w:style>
  <w:style w:type="character" w:customStyle="1" w:styleId="59">
    <w:name w:val="日期 Char"/>
    <w:basedOn w:val="33"/>
    <w:link w:val="17"/>
    <w:qFormat/>
    <w:uiPriority w:val="0"/>
    <w:rPr>
      <w:kern w:val="2"/>
      <w:sz w:val="21"/>
      <w:szCs w:val="22"/>
    </w:rPr>
  </w:style>
  <w:style w:type="character" w:customStyle="1" w:styleId="60">
    <w:name w:val="批注框文本 Char"/>
    <w:basedOn w:val="33"/>
    <w:link w:val="19"/>
    <w:semiHidden/>
    <w:qFormat/>
    <w:uiPriority w:val="0"/>
    <w:rPr>
      <w:rFonts w:asciiTheme="minorHAnsi" w:hAnsiTheme="minorHAnsi" w:eastAsiaTheme="minorEastAsia" w:cstheme="minorBidi"/>
      <w:kern w:val="2"/>
      <w:sz w:val="18"/>
      <w:szCs w:val="18"/>
    </w:rPr>
  </w:style>
  <w:style w:type="character" w:customStyle="1" w:styleId="61">
    <w:name w:val="页脚 Char"/>
    <w:basedOn w:val="33"/>
    <w:link w:val="20"/>
    <w:qFormat/>
    <w:uiPriority w:val="99"/>
    <w:rPr>
      <w:sz w:val="18"/>
      <w:szCs w:val="18"/>
    </w:rPr>
  </w:style>
  <w:style w:type="character" w:customStyle="1" w:styleId="62">
    <w:name w:val="页眉 Char"/>
    <w:basedOn w:val="33"/>
    <w:link w:val="21"/>
    <w:qFormat/>
    <w:uiPriority w:val="99"/>
    <w:rPr>
      <w:sz w:val="18"/>
      <w:szCs w:val="18"/>
    </w:rPr>
  </w:style>
  <w:style w:type="character" w:customStyle="1" w:styleId="63">
    <w:name w:val="副标题 Char"/>
    <w:basedOn w:val="33"/>
    <w:link w:val="23"/>
    <w:qFormat/>
    <w:uiPriority w:val="0"/>
    <w:rPr>
      <w:rFonts w:eastAsia="宋体" w:asciiTheme="majorHAnsi" w:hAnsiTheme="majorHAnsi" w:cstheme="majorBidi"/>
      <w:b/>
      <w:bCs/>
      <w:kern w:val="28"/>
      <w:sz w:val="32"/>
      <w:szCs w:val="32"/>
    </w:rPr>
  </w:style>
  <w:style w:type="character" w:customStyle="1" w:styleId="64">
    <w:name w:val="HTML 预设格式 Char"/>
    <w:basedOn w:val="33"/>
    <w:link w:val="26"/>
    <w:qFormat/>
    <w:uiPriority w:val="0"/>
    <w:rPr>
      <w:rFonts w:ascii="宋体" w:hAnsi="宋体"/>
      <w:sz w:val="24"/>
      <w:szCs w:val="24"/>
    </w:rPr>
  </w:style>
  <w:style w:type="character" w:customStyle="1" w:styleId="65">
    <w:name w:val="正文首行缩进 Char"/>
    <w:basedOn w:val="56"/>
    <w:link w:val="28"/>
    <w:qFormat/>
    <w:uiPriority w:val="99"/>
    <w:rPr>
      <w:rFonts w:ascii="楷体_GB2312" w:hAnsi="Times New Roman" w:eastAsia="楷体_GB2312" w:cs="Times New Roman"/>
      <w:kern w:val="0"/>
      <w:sz w:val="28"/>
      <w:szCs w:val="20"/>
    </w:rPr>
  </w:style>
  <w:style w:type="character" w:customStyle="1" w:styleId="66">
    <w:name w:val="正文首行缩进 2 Char"/>
    <w:basedOn w:val="57"/>
    <w:link w:val="29"/>
    <w:qFormat/>
    <w:uiPriority w:val="99"/>
    <w:rPr>
      <w:rFonts w:asciiTheme="minorHAnsi" w:hAnsiTheme="minorHAnsi" w:eastAsiaTheme="minorEastAsia" w:cstheme="minorBidi"/>
      <w:kern w:val="2"/>
      <w:sz w:val="21"/>
      <w:szCs w:val="22"/>
    </w:rPr>
  </w:style>
  <w:style w:type="table" w:customStyle="1" w:styleId="67">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68">
    <w:name w:val="Table Paragraph"/>
    <w:basedOn w:val="1"/>
    <w:qFormat/>
    <w:uiPriority w:val="1"/>
    <w:pPr>
      <w:jc w:val="left"/>
    </w:pPr>
    <w:rPr>
      <w:kern w:val="0"/>
      <w:sz w:val="22"/>
      <w:lang w:eastAsia="en-US"/>
    </w:rPr>
  </w:style>
  <w:style w:type="character" w:customStyle="1" w:styleId="69">
    <w:name w:val="批注文字 Char"/>
    <w:basedOn w:val="33"/>
    <w:qFormat/>
    <w:uiPriority w:val="0"/>
  </w:style>
  <w:style w:type="character" w:customStyle="1" w:styleId="70">
    <w:name w:val="纯文本 Char1"/>
    <w:basedOn w:val="33"/>
    <w:semiHidden/>
    <w:qFormat/>
    <w:uiPriority w:val="99"/>
    <w:rPr>
      <w:rFonts w:ascii="宋体" w:hAnsi="Courier New" w:eastAsia="宋体" w:cs="Courier New"/>
      <w:szCs w:val="21"/>
    </w:rPr>
  </w:style>
  <w:style w:type="paragraph" w:customStyle="1" w:styleId="71">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2">
    <w:name w:val="font01"/>
    <w:qFormat/>
    <w:uiPriority w:val="0"/>
    <w:rPr>
      <w:rFonts w:hint="eastAsia" w:ascii="宋体" w:hAnsi="宋体" w:eastAsia="宋体" w:cs="宋体"/>
      <w:color w:val="000000"/>
      <w:sz w:val="22"/>
      <w:szCs w:val="22"/>
      <w:u w:val="none"/>
    </w:rPr>
  </w:style>
  <w:style w:type="paragraph" w:customStyle="1" w:styleId="73">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74">
    <w:name w:val="List Paragraph"/>
    <w:basedOn w:val="1"/>
    <w:qFormat/>
    <w:uiPriority w:val="99"/>
    <w:pPr>
      <w:ind w:firstLine="420" w:firstLineChars="200"/>
    </w:pPr>
  </w:style>
  <w:style w:type="paragraph" w:customStyle="1" w:styleId="75">
    <w:name w:val="样式 标题 2 + Times New Roman 四号 非加粗 段前: 5 磅 段后: 0 磅 行距: 固定值 20..."/>
    <w:basedOn w:val="4"/>
    <w:next w:val="1"/>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76">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7">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78">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79">
    <w:name w:val="font7"/>
    <w:basedOn w:val="1"/>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80">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81">
    <w:name w:val="font9"/>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82">
    <w:name w:val="font10"/>
    <w:basedOn w:val="1"/>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8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8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8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8">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9">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90">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92">
    <w:name w:val="xl7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3">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5">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6">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7">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00">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1">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2">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0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0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0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10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10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10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12">
    <w:name w:val="xl93"/>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13">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5">
    <w:name w:val="xl96"/>
    <w:basedOn w:val="1"/>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6">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7">
    <w:name w:val="xl98"/>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8">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21">
    <w:name w:val="xl102"/>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2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3">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4">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8">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9">
    <w:name w:val="xl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0">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3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33">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4">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36">
    <w:name w:val="font11"/>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37">
    <w:name w:val="font12"/>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38">
    <w:name w:val="font13"/>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39">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4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42">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43">
    <w:name w:val="xl12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4">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5">
    <w:name w:val="列出段落1"/>
    <w:basedOn w:val="1"/>
    <w:link w:val="146"/>
    <w:qFormat/>
    <w:uiPriority w:val="34"/>
    <w:pPr>
      <w:ind w:firstLine="420" w:firstLineChars="200"/>
    </w:pPr>
    <w:rPr>
      <w:rFonts w:ascii="Calibri" w:hAnsi="Calibri" w:eastAsia="宋体" w:cs="Times New Roman"/>
    </w:rPr>
  </w:style>
  <w:style w:type="character" w:customStyle="1" w:styleId="146">
    <w:name w:val="List Paragraph Char Char"/>
    <w:link w:val="145"/>
    <w:qFormat/>
    <w:uiPriority w:val="0"/>
    <w:rPr>
      <w:rFonts w:ascii="Calibri" w:hAnsi="Calibri"/>
      <w:kern w:val="2"/>
      <w:sz w:val="21"/>
      <w:szCs w:val="22"/>
    </w:rPr>
  </w:style>
  <w:style w:type="character" w:customStyle="1" w:styleId="147">
    <w:name w:val="纯文本 字符1"/>
    <w:qFormat/>
    <w:uiPriority w:val="0"/>
    <w:rPr>
      <w:rFonts w:ascii="宋体" w:hAnsi="Courier New"/>
      <w:kern w:val="2"/>
      <w:sz w:val="21"/>
    </w:rPr>
  </w:style>
  <w:style w:type="character" w:customStyle="1" w:styleId="148">
    <w:name w:val="font61"/>
    <w:basedOn w:val="33"/>
    <w:qFormat/>
    <w:uiPriority w:val="0"/>
    <w:rPr>
      <w:rFonts w:hint="eastAsia" w:ascii="宋体" w:hAnsi="宋体" w:eastAsia="宋体" w:cs="宋体"/>
      <w:color w:val="000000"/>
      <w:sz w:val="18"/>
      <w:szCs w:val="18"/>
      <w:u w:val="none"/>
    </w:rPr>
  </w:style>
  <w:style w:type="paragraph" w:customStyle="1" w:styleId="149">
    <w:name w:val="列出段落2"/>
    <w:basedOn w:val="1"/>
    <w:qFormat/>
    <w:uiPriority w:val="99"/>
    <w:pPr>
      <w:spacing w:line="360" w:lineRule="auto"/>
      <w:ind w:firstLine="420" w:firstLineChars="200"/>
    </w:pPr>
    <w:rPr>
      <w:rFonts w:ascii="宋体" w:hAnsi="宋体" w:eastAsia="仿宋" w:cs="Times New Roman"/>
      <w:sz w:val="32"/>
    </w:rPr>
  </w:style>
  <w:style w:type="paragraph" w:customStyle="1" w:styleId="150">
    <w:name w:val="正文 A"/>
    <w:qFormat/>
    <w:uiPriority w:val="0"/>
    <w:rPr>
      <w:rFonts w:ascii="Times New Roman" w:hAnsi="Times New Roman" w:eastAsia="Arial Unicode MS" w:cs="Arial Unicode MS"/>
      <w:color w:val="000000"/>
      <w:sz w:val="22"/>
      <w:szCs w:val="22"/>
      <w:lang w:val="en-US" w:eastAsia="zh-CN" w:bidi="ar-SA"/>
    </w:rPr>
  </w:style>
  <w:style w:type="paragraph" w:customStyle="1" w:styleId="151">
    <w:name w:val="正文 A A"/>
    <w:qFormat/>
    <w:uiPriority w:val="0"/>
    <w:rPr>
      <w:rFonts w:ascii="Times New Roman" w:hAnsi="Times New Roman" w:eastAsia="Times New Roman" w:cs="Times New Roman"/>
      <w:color w:val="000000"/>
      <w:sz w:val="22"/>
      <w:szCs w:val="22"/>
      <w:lang w:val="en-US" w:eastAsia="zh-CN" w:bidi="ar-SA"/>
    </w:rPr>
  </w:style>
  <w:style w:type="paragraph" w:customStyle="1" w:styleId="152">
    <w:name w:val="_Style 103"/>
    <w:basedOn w:val="1"/>
    <w:next w:val="74"/>
    <w:qFormat/>
    <w:uiPriority w:val="0"/>
    <w:pPr>
      <w:ind w:left="100" w:leftChars="100" w:firstLine="420" w:firstLineChars="200"/>
    </w:pPr>
    <w:rPr>
      <w:rFonts w:ascii="Times New Roman" w:hAnsi="Times New Roman" w:eastAsia="宋体" w:cs="Times New Roman"/>
    </w:rPr>
  </w:style>
  <w:style w:type="paragraph" w:styleId="153">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154">
    <w:name w:val="表格CXH"/>
    <w:basedOn w:val="1"/>
    <w:qFormat/>
    <w:uiPriority w:val="0"/>
  </w:style>
  <w:style w:type="paragraph" w:customStyle="1" w:styleId="155">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56">
    <w:name w:val="标题 1 Char1"/>
    <w:qFormat/>
    <w:uiPriority w:val="0"/>
    <w:rPr>
      <w:b/>
      <w:bCs/>
      <w:kern w:val="44"/>
      <w:sz w:val="44"/>
      <w:szCs w:val="44"/>
    </w:rPr>
  </w:style>
  <w:style w:type="character" w:customStyle="1" w:styleId="157">
    <w:name w:val="正文文本缩进 2 Char"/>
    <w:basedOn w:val="33"/>
    <w:link w:val="18"/>
    <w:qFormat/>
    <w:uiPriority w:val="0"/>
    <w:rPr>
      <w:rFonts w:ascii="宋体" w:hAnsi="宋体" w:cs="宋体"/>
      <w:b/>
      <w:kern w:val="1"/>
      <w:sz w:val="21"/>
      <w:szCs w:val="24"/>
    </w:rPr>
  </w:style>
  <w:style w:type="character" w:customStyle="1" w:styleId="158">
    <w:name w:val="正文文本 2 Char"/>
    <w:link w:val="12"/>
    <w:qFormat/>
    <w:uiPriority w:val="0"/>
    <w:rPr>
      <w:rFonts w:asciiTheme="minorHAnsi" w:hAnsiTheme="minorHAnsi" w:eastAsiaTheme="minorEastAsia" w:cstheme="minorBidi"/>
      <w:kern w:val="2"/>
      <w:sz w:val="21"/>
      <w:szCs w:val="22"/>
    </w:rPr>
  </w:style>
  <w:style w:type="table" w:customStyle="1" w:styleId="159">
    <w:name w:val="网格型1"/>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0">
    <w:name w:val="引文目录标题1"/>
    <w:basedOn w:val="1"/>
    <w:next w:val="1"/>
    <w:qFormat/>
    <w:uiPriority w:val="0"/>
    <w:pPr>
      <w:spacing w:before="120"/>
    </w:pPr>
    <w:rPr>
      <w:rFonts w:ascii="Arial" w:hAnsi="Arial" w:eastAsia="宋体" w:cs="Times New Roman"/>
      <w:sz w:val="24"/>
    </w:rPr>
  </w:style>
  <w:style w:type="paragraph" w:customStyle="1" w:styleId="161">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2">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3">
    <w:name w:val="批注框文本1"/>
    <w:basedOn w:val="1"/>
    <w:link w:val="164"/>
    <w:qFormat/>
    <w:uiPriority w:val="0"/>
    <w:rPr>
      <w:rFonts w:ascii="Calibri" w:hAnsi="Calibri" w:eastAsia="宋体" w:cs="Times New Roman"/>
      <w:sz w:val="18"/>
      <w:szCs w:val="18"/>
    </w:rPr>
  </w:style>
  <w:style w:type="character" w:customStyle="1" w:styleId="164">
    <w:name w:val="批注框文本 字符"/>
    <w:link w:val="163"/>
    <w:qFormat/>
    <w:uiPriority w:val="0"/>
    <w:rPr>
      <w:rFonts w:ascii="Calibri" w:hAnsi="Calibri"/>
      <w:kern w:val="2"/>
      <w:sz w:val="18"/>
      <w:szCs w:val="18"/>
    </w:rPr>
  </w:style>
  <w:style w:type="paragraph" w:customStyle="1" w:styleId="165">
    <w:name w:val="正文缩进1"/>
    <w:basedOn w:val="1"/>
    <w:qFormat/>
    <w:uiPriority w:val="0"/>
    <w:pPr>
      <w:ind w:firstLine="420" w:firstLineChars="200"/>
    </w:pPr>
    <w:rPr>
      <w:rFonts w:ascii="Calibri" w:hAnsi="Calibri" w:eastAsia="宋体" w:cs="Times New Roman"/>
    </w:rPr>
  </w:style>
  <w:style w:type="paragraph" w:customStyle="1" w:styleId="166">
    <w:name w:val="纯文本1"/>
    <w:basedOn w:val="1"/>
    <w:qFormat/>
    <w:uiPriority w:val="0"/>
    <w:rPr>
      <w:rFonts w:ascii="宋体" w:hAnsi="Courier New" w:eastAsia="宋体" w:cs="Times New Roman"/>
    </w:rPr>
  </w:style>
  <w:style w:type="paragraph" w:customStyle="1" w:styleId="167">
    <w:name w:val="普通(网站)1"/>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168">
    <w:name w:val="正文文本缩进1"/>
    <w:basedOn w:val="1"/>
    <w:link w:val="169"/>
    <w:qFormat/>
    <w:uiPriority w:val="0"/>
    <w:pPr>
      <w:spacing w:after="120"/>
      <w:ind w:left="420" w:leftChars="200"/>
    </w:pPr>
    <w:rPr>
      <w:rFonts w:ascii="Calibri" w:hAnsi="Calibri" w:eastAsia="宋体" w:cs="Times New Roman"/>
    </w:rPr>
  </w:style>
  <w:style w:type="character" w:customStyle="1" w:styleId="169">
    <w:name w:val="正文文本缩进 字符"/>
    <w:link w:val="168"/>
    <w:qFormat/>
    <w:uiPriority w:val="0"/>
    <w:rPr>
      <w:rFonts w:ascii="Calibri" w:hAnsi="Calibri"/>
      <w:kern w:val="2"/>
      <w:sz w:val="21"/>
      <w:szCs w:val="22"/>
    </w:rPr>
  </w:style>
  <w:style w:type="paragraph" w:customStyle="1" w:styleId="170">
    <w:name w:val="正文首行缩进 21"/>
    <w:basedOn w:val="168"/>
    <w:next w:val="1"/>
    <w:link w:val="171"/>
    <w:qFormat/>
    <w:uiPriority w:val="0"/>
    <w:pPr>
      <w:ind w:firstLine="420" w:firstLineChars="200"/>
    </w:pPr>
    <w:rPr>
      <w:szCs w:val="24"/>
    </w:rPr>
  </w:style>
  <w:style w:type="character" w:customStyle="1" w:styleId="171">
    <w:name w:val="正文文本首行缩进 2 字符"/>
    <w:link w:val="170"/>
    <w:qFormat/>
    <w:uiPriority w:val="0"/>
    <w:rPr>
      <w:rFonts w:ascii="Calibri" w:hAnsi="Calibri"/>
      <w:kern w:val="2"/>
      <w:sz w:val="21"/>
      <w:szCs w:val="24"/>
    </w:rPr>
  </w:style>
  <w:style w:type="paragraph" w:customStyle="1" w:styleId="172">
    <w:name w:val="寄信人地址1"/>
    <w:basedOn w:val="1"/>
    <w:qFormat/>
    <w:uiPriority w:val="0"/>
    <w:pPr>
      <w:snapToGrid w:val="0"/>
    </w:pPr>
    <w:rPr>
      <w:rFonts w:ascii="Arial" w:hAnsi="Arial" w:eastAsia="宋体" w:cs="Times New Roman"/>
      <w:szCs w:val="24"/>
    </w:rPr>
  </w:style>
  <w:style w:type="paragraph" w:customStyle="1" w:styleId="173">
    <w:name w:val="引文目录1"/>
    <w:basedOn w:val="1"/>
    <w:next w:val="1"/>
    <w:qFormat/>
    <w:uiPriority w:val="0"/>
    <w:pPr>
      <w:ind w:left="420" w:leftChars="200"/>
    </w:pPr>
    <w:rPr>
      <w:rFonts w:ascii="Calibri" w:hAnsi="Calibri" w:eastAsia="宋体" w:cs="Times New Roman"/>
      <w:szCs w:val="24"/>
    </w:rPr>
  </w:style>
  <w:style w:type="paragraph" w:customStyle="1" w:styleId="174">
    <w:name w:val="List Paragraph1"/>
    <w:basedOn w:val="1"/>
    <w:qFormat/>
    <w:uiPriority w:val="0"/>
    <w:pPr>
      <w:ind w:firstLine="420" w:firstLineChars="200"/>
    </w:pPr>
    <w:rPr>
      <w:rFonts w:ascii="Calibri" w:hAnsi="Calibri" w:eastAsia="宋体" w:cs="Times New Roman"/>
      <w:szCs w:val="24"/>
    </w:rPr>
  </w:style>
  <w:style w:type="character" w:customStyle="1" w:styleId="175">
    <w:name w:val="font31"/>
    <w:qFormat/>
    <w:uiPriority w:val="0"/>
    <w:rPr>
      <w:rFonts w:hint="eastAsia" w:ascii="宋体" w:hAnsi="宋体" w:eastAsia="宋体" w:cs="宋体"/>
      <w:color w:val="000000"/>
      <w:sz w:val="22"/>
      <w:szCs w:val="22"/>
      <w:u w:val="none"/>
    </w:rPr>
  </w:style>
  <w:style w:type="character" w:customStyle="1" w:styleId="176">
    <w:name w:val="font101"/>
    <w:qFormat/>
    <w:uiPriority w:val="0"/>
    <w:rPr>
      <w:rFonts w:ascii="宋体" w:hAnsi="宋体" w:eastAsia="宋体" w:cs="宋体"/>
      <w:color w:val="000000"/>
      <w:sz w:val="24"/>
      <w:szCs w:val="24"/>
      <w:u w:val="none"/>
    </w:rPr>
  </w:style>
  <w:style w:type="character" w:customStyle="1" w:styleId="177">
    <w:name w:val="font91"/>
    <w:qFormat/>
    <w:uiPriority w:val="0"/>
    <w:rPr>
      <w:rFonts w:hint="eastAsia" w:ascii="宋体" w:hAnsi="宋体" w:eastAsia="宋体" w:cs="宋体"/>
      <w:color w:val="000000"/>
      <w:sz w:val="22"/>
      <w:szCs w:val="22"/>
      <w:u w:val="none"/>
    </w:rPr>
  </w:style>
  <w:style w:type="character" w:customStyle="1" w:styleId="178">
    <w:name w:val="font151"/>
    <w:qFormat/>
    <w:uiPriority w:val="0"/>
    <w:rPr>
      <w:rFonts w:hint="eastAsia" w:ascii="宋体" w:hAnsi="宋体" w:eastAsia="宋体" w:cs="宋体"/>
      <w:color w:val="000000"/>
      <w:sz w:val="22"/>
      <w:szCs w:val="22"/>
      <w:u w:val="none"/>
    </w:rPr>
  </w:style>
  <w:style w:type="character" w:customStyle="1" w:styleId="179">
    <w:name w:val="font161"/>
    <w:qFormat/>
    <w:uiPriority w:val="0"/>
    <w:rPr>
      <w:rFonts w:ascii="宋体" w:hAnsi="宋体" w:eastAsia="宋体" w:cs="宋体"/>
      <w:color w:val="000000"/>
      <w:sz w:val="22"/>
      <w:szCs w:val="22"/>
      <w:u w:val="none"/>
    </w:rPr>
  </w:style>
  <w:style w:type="character" w:customStyle="1" w:styleId="180">
    <w:name w:val="font71"/>
    <w:qFormat/>
    <w:uiPriority w:val="0"/>
    <w:rPr>
      <w:rFonts w:hint="eastAsia" w:ascii="宋体" w:hAnsi="宋体" w:eastAsia="宋体" w:cs="宋体"/>
      <w:color w:val="000000"/>
      <w:sz w:val="24"/>
      <w:szCs w:val="24"/>
      <w:u w:val="none"/>
    </w:rPr>
  </w:style>
  <w:style w:type="paragraph" w:customStyle="1" w:styleId="181">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182">
    <w:name w:val="font51"/>
    <w:qFormat/>
    <w:uiPriority w:val="0"/>
    <w:rPr>
      <w:rFonts w:hint="eastAsia" w:ascii="宋体" w:hAnsi="宋体" w:eastAsia="宋体" w:cs="宋体"/>
      <w:color w:val="000000"/>
      <w:sz w:val="24"/>
      <w:szCs w:val="24"/>
      <w:u w:val="none"/>
    </w:rPr>
  </w:style>
  <w:style w:type="character" w:customStyle="1" w:styleId="183">
    <w:name w:val="font121"/>
    <w:qFormat/>
    <w:uiPriority w:val="0"/>
    <w:rPr>
      <w:rFonts w:hint="eastAsia" w:ascii="宋体" w:hAnsi="宋体" w:eastAsia="宋体" w:cs="宋体"/>
      <w:b/>
      <w:color w:val="000000"/>
      <w:sz w:val="24"/>
      <w:szCs w:val="24"/>
      <w:u w:val="none"/>
    </w:rPr>
  </w:style>
  <w:style w:type="character" w:customStyle="1" w:styleId="184">
    <w:name w:val="font181"/>
    <w:qFormat/>
    <w:uiPriority w:val="0"/>
    <w:rPr>
      <w:rFonts w:hint="eastAsia" w:ascii="宋体" w:hAnsi="宋体" w:eastAsia="宋体" w:cs="宋体"/>
      <w:color w:val="000000"/>
      <w:sz w:val="22"/>
      <w:szCs w:val="22"/>
      <w:u w:val="none"/>
    </w:rPr>
  </w:style>
  <w:style w:type="character" w:customStyle="1" w:styleId="185">
    <w:name w:val="font281"/>
    <w:qFormat/>
    <w:uiPriority w:val="0"/>
    <w:rPr>
      <w:rFonts w:ascii="Wingdings" w:hAnsi="Wingdings" w:cs="Wingdings"/>
      <w:color w:val="000000"/>
      <w:sz w:val="20"/>
      <w:szCs w:val="20"/>
      <w:u w:val="none"/>
    </w:rPr>
  </w:style>
  <w:style w:type="character" w:customStyle="1" w:styleId="186">
    <w:name w:val="font271"/>
    <w:qFormat/>
    <w:uiPriority w:val="0"/>
    <w:rPr>
      <w:rFonts w:ascii="Calibri" w:hAnsi="Calibri" w:cs="Calibri"/>
      <w:color w:val="000000"/>
      <w:sz w:val="20"/>
      <w:szCs w:val="20"/>
      <w:u w:val="none"/>
    </w:rPr>
  </w:style>
  <w:style w:type="character" w:customStyle="1" w:styleId="187">
    <w:name w:val="font141"/>
    <w:qFormat/>
    <w:uiPriority w:val="0"/>
    <w:rPr>
      <w:rFonts w:hint="eastAsia" w:ascii="宋体" w:hAnsi="宋体" w:eastAsia="宋体" w:cs="宋体"/>
      <w:color w:val="000000"/>
      <w:sz w:val="20"/>
      <w:szCs w:val="20"/>
      <w:u w:val="none"/>
    </w:rPr>
  </w:style>
  <w:style w:type="character" w:customStyle="1" w:styleId="188">
    <w:name w:val="prdltop5oa2"/>
    <w:qFormat/>
    <w:uiPriority w:val="0"/>
    <w:rPr>
      <w:b/>
      <w:color w:val="222222"/>
    </w:rPr>
  </w:style>
  <w:style w:type="character" w:customStyle="1" w:styleId="189">
    <w:name w:val="no"/>
    <w:qFormat/>
    <w:uiPriority w:val="0"/>
    <w:rPr>
      <w:color w:val="666666"/>
      <w:sz w:val="18"/>
      <w:szCs w:val="18"/>
    </w:rPr>
  </w:style>
  <w:style w:type="character" w:customStyle="1" w:styleId="190">
    <w:name w:val="hover23"/>
    <w:qFormat/>
    <w:uiPriority w:val="0"/>
  </w:style>
  <w:style w:type="character" w:customStyle="1" w:styleId="191">
    <w:name w:val="hover24"/>
    <w:qFormat/>
    <w:uiPriority w:val="0"/>
    <w:rPr>
      <w:color w:val="315EFB"/>
    </w:rPr>
  </w:style>
  <w:style w:type="character" w:customStyle="1" w:styleId="192">
    <w:name w:val="c-icon23"/>
    <w:qFormat/>
    <w:uiPriority w:val="0"/>
  </w:style>
  <w:style w:type="character" w:customStyle="1" w:styleId="193">
    <w:name w:val="c-icon28"/>
    <w:qFormat/>
    <w:uiPriority w:val="0"/>
  </w:style>
  <w:style w:type="character" w:customStyle="1" w:styleId="194">
    <w:name w:val="hover22"/>
    <w:qFormat/>
    <w:uiPriority w:val="0"/>
  </w:style>
  <w:style w:type="paragraph" w:customStyle="1" w:styleId="195">
    <w:name w:val="正文 New New New New"/>
    <w:qFormat/>
    <w:uiPriority w:val="0"/>
    <w:pPr>
      <w:widowControl w:val="0"/>
      <w:jc w:val="both"/>
    </w:pPr>
    <w:rPr>
      <w:rFonts w:ascii="Times New Roman" w:hAnsi="Times New Roman" w:eastAsia="宋体" w:cs="Times New Roman"/>
      <w:szCs w:val="24"/>
      <w:lang w:val="en-US" w:eastAsia="zh-CN" w:bidi="ar-SA"/>
    </w:rPr>
  </w:style>
  <w:style w:type="character" w:customStyle="1" w:styleId="196">
    <w:name w:val="font112"/>
    <w:qFormat/>
    <w:uiPriority w:val="0"/>
    <w:rPr>
      <w:rFonts w:hint="eastAsia" w:ascii="宋体" w:hAnsi="宋体" w:eastAsia="宋体" w:cs="宋体"/>
      <w:color w:val="F79646"/>
      <w:sz w:val="24"/>
      <w:szCs w:val="24"/>
      <w:u w:val="none"/>
    </w:rPr>
  </w:style>
  <w:style w:type="character" w:customStyle="1" w:styleId="197">
    <w:name w:val="font41"/>
    <w:qFormat/>
    <w:uiPriority w:val="0"/>
    <w:rPr>
      <w:rFonts w:hint="eastAsia" w:ascii="宋体" w:hAnsi="宋体" w:eastAsia="宋体" w:cs="宋体"/>
      <w:color w:val="000000"/>
      <w:sz w:val="24"/>
      <w:szCs w:val="24"/>
      <w:u w:val="none"/>
    </w:rPr>
  </w:style>
  <w:style w:type="character" w:customStyle="1" w:styleId="198">
    <w:name w:val="font81"/>
    <w:qFormat/>
    <w:uiPriority w:val="0"/>
    <w:rPr>
      <w:rFonts w:hint="eastAsia" w:ascii="宋体" w:hAnsi="宋体" w:eastAsia="宋体" w:cs="宋体"/>
      <w:color w:val="000000"/>
      <w:sz w:val="18"/>
      <w:szCs w:val="18"/>
      <w:u w:val="none"/>
    </w:rPr>
  </w:style>
  <w:style w:type="character" w:customStyle="1" w:styleId="199">
    <w:name w:val="font171"/>
    <w:qFormat/>
    <w:uiPriority w:val="0"/>
    <w:rPr>
      <w:rFonts w:hint="eastAsia" w:ascii="宋体" w:hAnsi="宋体" w:eastAsia="宋体" w:cs="宋体"/>
      <w:color w:val="F79646"/>
      <w:sz w:val="28"/>
      <w:szCs w:val="28"/>
      <w:u w:val="none"/>
    </w:rPr>
  </w:style>
  <w:style w:type="character" w:customStyle="1" w:styleId="200">
    <w:name w:val="normaltextrun"/>
    <w:qFormat/>
    <w:uiPriority w:val="0"/>
  </w:style>
  <w:style w:type="character" w:customStyle="1" w:styleId="201">
    <w:name w:val="bg"/>
    <w:qFormat/>
    <w:uiPriority w:val="0"/>
  </w:style>
  <w:style w:type="paragraph" w:customStyle="1" w:styleId="202">
    <w:name w:val="mt2"/>
    <w:basedOn w:val="1"/>
    <w:qFormat/>
    <w:uiPriority w:val="0"/>
    <w:pPr>
      <w:spacing w:before="150"/>
      <w:jc w:val="left"/>
    </w:pPr>
    <w:rPr>
      <w:rFonts w:ascii="Times New Roman" w:hAnsi="Times New Roman" w:eastAsia="宋体" w:cs="Times New Roman"/>
      <w:kern w:val="0"/>
      <w:szCs w:val="24"/>
    </w:rPr>
  </w:style>
  <w:style w:type="character" w:customStyle="1" w:styleId="203">
    <w:name w:val="hover2"/>
    <w:qFormat/>
    <w:uiPriority w:val="0"/>
  </w:style>
  <w:style w:type="character" w:customStyle="1" w:styleId="204">
    <w:name w:val="disa"/>
    <w:qFormat/>
    <w:uiPriority w:val="0"/>
    <w:rPr>
      <w:color w:val="DDDDDD"/>
      <w:sz w:val="9"/>
      <w:szCs w:val="9"/>
      <w:bdr w:val="single" w:color="DDDDDD" w:sz="2" w:space="0"/>
      <w:shd w:val="clear" w:color="auto" w:fill="FFFFFF"/>
    </w:rPr>
  </w:style>
  <w:style w:type="character" w:customStyle="1" w:styleId="205">
    <w:name w:val="more"/>
    <w:qFormat/>
    <w:uiPriority w:val="0"/>
    <w:rPr>
      <w:sz w:val="9"/>
      <w:szCs w:val="9"/>
    </w:rPr>
  </w:style>
  <w:style w:type="character" w:customStyle="1" w:styleId="206">
    <w:name w:val="dprice"/>
    <w:qFormat/>
    <w:uiPriority w:val="0"/>
    <w:rPr>
      <w:rFonts w:ascii="Arial" w:hAnsi="Arial" w:cs="Arial"/>
      <w:b/>
      <w:bCs/>
      <w:color w:val="DB1922"/>
    </w:rPr>
  </w:style>
  <w:style w:type="character" w:customStyle="1" w:styleId="207">
    <w:name w:val="buy_item_left_title"/>
    <w:qFormat/>
    <w:uiPriority w:val="0"/>
    <w:rPr>
      <w:rFonts w:ascii="微软雅黑" w:hAnsi="微软雅黑" w:eastAsia="微软雅黑" w:cs="微软雅黑"/>
      <w:color w:val="333333"/>
      <w:sz w:val="10"/>
      <w:szCs w:val="10"/>
    </w:rPr>
  </w:style>
  <w:style w:type="paragraph" w:customStyle="1" w:styleId="208">
    <w:name w:val="列表1"/>
    <w:basedOn w:val="209"/>
    <w:qFormat/>
    <w:uiPriority w:val="99"/>
    <w:pPr>
      <w:ind w:left="420" w:hanging="420"/>
    </w:pPr>
    <w:rPr>
      <w:rFonts w:eastAsia="楷体_GB2312"/>
      <w:sz w:val="32"/>
    </w:rPr>
  </w:style>
  <w:style w:type="paragraph" w:customStyle="1" w:styleId="209">
    <w:name w:val="正文11"/>
    <w:qFormat/>
    <w:uiPriority w:val="0"/>
    <w:pPr>
      <w:widowControl w:val="0"/>
      <w:jc w:val="both"/>
    </w:pPr>
    <w:rPr>
      <w:rFonts w:ascii="Calibri" w:hAnsi="Calibri" w:eastAsia="宋体" w:cs="Times New Roman"/>
      <w:kern w:val="2"/>
      <w:sz w:val="21"/>
      <w:szCs w:val="24"/>
      <w:lang w:val="en-US" w:eastAsia="zh-CN" w:bidi="ar-SA"/>
    </w:rPr>
  </w:style>
  <w:style w:type="character" w:customStyle="1" w:styleId="210">
    <w:name w:val="标题 2 字符"/>
    <w:qFormat/>
    <w:uiPriority w:val="0"/>
    <w:rPr>
      <w:rFonts w:ascii="Arial" w:hAnsi="Arial"/>
      <w:b/>
      <w:bCs/>
      <w:kern w:val="2"/>
      <w:sz w:val="24"/>
      <w:szCs w:val="32"/>
    </w:rPr>
  </w:style>
  <w:style w:type="table" w:customStyle="1" w:styleId="211">
    <w:name w:val="网格型4"/>
    <w:basedOn w:val="31"/>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2">
    <w:name w:val="网格型3"/>
    <w:basedOn w:val="31"/>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027FE"/>
    <w:rsid w:val="001211E8"/>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47DF5"/>
    <w:rsid w:val="0036076B"/>
    <w:rsid w:val="00373E2B"/>
    <w:rsid w:val="00392543"/>
    <w:rsid w:val="003A5ABB"/>
    <w:rsid w:val="003B6BA1"/>
    <w:rsid w:val="003D5E8E"/>
    <w:rsid w:val="003E2664"/>
    <w:rsid w:val="003F6D6B"/>
    <w:rsid w:val="00470CB8"/>
    <w:rsid w:val="0047526C"/>
    <w:rsid w:val="00481BA3"/>
    <w:rsid w:val="00483B15"/>
    <w:rsid w:val="0048500B"/>
    <w:rsid w:val="004A2532"/>
    <w:rsid w:val="004A5B89"/>
    <w:rsid w:val="004D491C"/>
    <w:rsid w:val="004E7347"/>
    <w:rsid w:val="004F5990"/>
    <w:rsid w:val="00553C3D"/>
    <w:rsid w:val="00555E6B"/>
    <w:rsid w:val="005666A1"/>
    <w:rsid w:val="00641539"/>
    <w:rsid w:val="00671106"/>
    <w:rsid w:val="00671C11"/>
    <w:rsid w:val="006770F7"/>
    <w:rsid w:val="00683ABA"/>
    <w:rsid w:val="006D7A56"/>
    <w:rsid w:val="007120A2"/>
    <w:rsid w:val="00730547"/>
    <w:rsid w:val="00734829"/>
    <w:rsid w:val="007533F9"/>
    <w:rsid w:val="0077076E"/>
    <w:rsid w:val="00782716"/>
    <w:rsid w:val="0078370A"/>
    <w:rsid w:val="007A2A37"/>
    <w:rsid w:val="007B13A3"/>
    <w:rsid w:val="007B64A2"/>
    <w:rsid w:val="007B740B"/>
    <w:rsid w:val="007C2A2C"/>
    <w:rsid w:val="007D121E"/>
    <w:rsid w:val="00805BD0"/>
    <w:rsid w:val="00827571"/>
    <w:rsid w:val="008A7A94"/>
    <w:rsid w:val="008B1469"/>
    <w:rsid w:val="008B3DDE"/>
    <w:rsid w:val="008D0204"/>
    <w:rsid w:val="008D3C20"/>
    <w:rsid w:val="008E4224"/>
    <w:rsid w:val="008F6334"/>
    <w:rsid w:val="009065EF"/>
    <w:rsid w:val="0090736A"/>
    <w:rsid w:val="00913803"/>
    <w:rsid w:val="009146C6"/>
    <w:rsid w:val="00932116"/>
    <w:rsid w:val="00997F70"/>
    <w:rsid w:val="009A2076"/>
    <w:rsid w:val="009D5520"/>
    <w:rsid w:val="00A024F6"/>
    <w:rsid w:val="00A175ED"/>
    <w:rsid w:val="00A17A9C"/>
    <w:rsid w:val="00A31584"/>
    <w:rsid w:val="00A71459"/>
    <w:rsid w:val="00AB2FA6"/>
    <w:rsid w:val="00AD522D"/>
    <w:rsid w:val="00B13E5B"/>
    <w:rsid w:val="00B378A7"/>
    <w:rsid w:val="00B525AE"/>
    <w:rsid w:val="00B617E8"/>
    <w:rsid w:val="00B76955"/>
    <w:rsid w:val="00B77530"/>
    <w:rsid w:val="00B77690"/>
    <w:rsid w:val="00B9636E"/>
    <w:rsid w:val="00BB592A"/>
    <w:rsid w:val="00BC5723"/>
    <w:rsid w:val="00C22DAC"/>
    <w:rsid w:val="00C415C5"/>
    <w:rsid w:val="00C45434"/>
    <w:rsid w:val="00C807D6"/>
    <w:rsid w:val="00C92D0A"/>
    <w:rsid w:val="00C938A2"/>
    <w:rsid w:val="00CF1D15"/>
    <w:rsid w:val="00D167DC"/>
    <w:rsid w:val="00D33ECA"/>
    <w:rsid w:val="00D36443"/>
    <w:rsid w:val="00D76FDB"/>
    <w:rsid w:val="00D7745F"/>
    <w:rsid w:val="00D901EF"/>
    <w:rsid w:val="00DE6C89"/>
    <w:rsid w:val="00DE7309"/>
    <w:rsid w:val="00E00263"/>
    <w:rsid w:val="00E21B9F"/>
    <w:rsid w:val="00E90A0D"/>
    <w:rsid w:val="00EA23F5"/>
    <w:rsid w:val="00EA3683"/>
    <w:rsid w:val="00EA5B26"/>
    <w:rsid w:val="00EE2AE3"/>
    <w:rsid w:val="00F24F80"/>
    <w:rsid w:val="00F72283"/>
    <w:rsid w:val="00F7518B"/>
    <w:rsid w:val="00F915FA"/>
    <w:rsid w:val="00F928D2"/>
    <w:rsid w:val="00FC22E0"/>
    <w:rsid w:val="00FE0EDD"/>
    <w:rsid w:val="00FE3AC9"/>
    <w:rsid w:val="00FF4B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701315EDB774114B29368D51E9A69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83FE5D022FC4D64A25C7565F95BF63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127</Pages>
  <Words>11685</Words>
  <Characters>66609</Characters>
  <Lines>555</Lines>
  <Paragraphs>156</Paragraphs>
  <TotalTime>0</TotalTime>
  <ScaleCrop>false</ScaleCrop>
  <LinksUpToDate>false</LinksUpToDate>
  <CharactersWithSpaces>78138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2020-07-20T09:54:00Z</dcterms:created>
  <dc:creator>NTKO</dc:creator>
  <cp:lastModifiedBy>A .M</cp:lastModifiedBy>
  <cp:lastPrinted>2023-07-24T07:19:00Z</cp:lastPrinted>
  <dcterms:modified xsi:type="dcterms:W3CDTF">2023-08-25T03:49:08Z</dcterms:modified>
  <dc:title>郑州市盲聋哑学校智能聋生手语翻译显示设备采购项目                      招标文件</dc:title>
  <cp:revision>543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151FCD4F75C84C76B6D1476A6A13F920_13</vt:lpwstr>
  </property>
  <property fmtid="{D5CDD505-2E9C-101B-9397-08002B2CF9AE}" pid="4" name="commondata">
    <vt:lpwstr>eyJoZGlkIjoiMjMzYTk3N2NhNGI1YzMxOTM0OGRjNmQ4NGYzNTNmMGMifQ==</vt:lpwstr>
  </property>
</Properties>
</file>